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1A5AA" w14:textId="77777777" w:rsidR="00784FB0" w:rsidRPr="006B00DC" w:rsidRDefault="00784FB0" w:rsidP="00784FB0">
      <w:pPr>
        <w:rPr>
          <w:b/>
          <w:bCs/>
          <w:color w:val="5B9BD5"/>
          <w:sz w:val="28"/>
          <w:szCs w:val="32"/>
        </w:rPr>
      </w:pPr>
      <w:bookmarkStart w:id="0" w:name="_Hlk144321216"/>
      <w:r w:rsidRPr="006B00DC">
        <w:rPr>
          <w:b/>
          <w:bCs/>
          <w:color w:val="5B9BD5"/>
          <w:sz w:val="28"/>
          <w:szCs w:val="32"/>
        </w:rPr>
        <w:t>SAN DIEGO SEND-OFF</w:t>
      </w:r>
    </w:p>
    <w:p w14:paraId="551D5B86" w14:textId="6DF77714" w:rsidR="00C55474" w:rsidRPr="006B00DC" w:rsidRDefault="00335BAA" w:rsidP="00C55474">
      <w:pPr>
        <w:rPr>
          <w:rFonts w:asciiTheme="minorHAnsi" w:hAnsiTheme="minorHAnsi" w:cstheme="minorBidi"/>
          <w:b/>
          <w:bCs/>
          <w:color w:val="1F497D"/>
          <w:sz w:val="21"/>
          <w:szCs w:val="21"/>
        </w:rPr>
      </w:pPr>
      <w:r>
        <w:rPr>
          <w:i/>
          <w:iCs/>
          <w:color w:val="5B9BD5"/>
          <w:sz w:val="21"/>
          <w:szCs w:val="21"/>
        </w:rPr>
        <w:t>Thur</w:t>
      </w:r>
      <w:r w:rsidR="003638DD">
        <w:rPr>
          <w:i/>
          <w:iCs/>
          <w:color w:val="5B9BD5"/>
          <w:sz w:val="21"/>
          <w:szCs w:val="21"/>
        </w:rPr>
        <w:t>s</w:t>
      </w:r>
      <w:r w:rsidR="000C1339" w:rsidRPr="006B00DC">
        <w:rPr>
          <w:i/>
          <w:iCs/>
          <w:color w:val="5B9BD5"/>
          <w:sz w:val="21"/>
          <w:szCs w:val="21"/>
        </w:rPr>
        <w:t>da</w:t>
      </w:r>
      <w:r w:rsidR="00003B85" w:rsidRPr="006B00DC">
        <w:rPr>
          <w:i/>
          <w:iCs/>
          <w:color w:val="5B9BD5"/>
          <w:sz w:val="21"/>
          <w:szCs w:val="21"/>
        </w:rPr>
        <w:t>y</w:t>
      </w:r>
      <w:r w:rsidR="00E335FA">
        <w:rPr>
          <w:i/>
          <w:iCs/>
          <w:color w:val="5B9BD5"/>
          <w:sz w:val="21"/>
          <w:szCs w:val="21"/>
        </w:rPr>
        <w:t xml:space="preserve">, </w:t>
      </w:r>
      <w:r>
        <w:rPr>
          <w:i/>
          <w:iCs/>
          <w:color w:val="5B9BD5"/>
          <w:sz w:val="21"/>
          <w:szCs w:val="21"/>
        </w:rPr>
        <w:t>February 29th</w:t>
      </w:r>
      <w:r w:rsidR="00FB0C22" w:rsidRPr="006B00DC">
        <w:rPr>
          <w:i/>
          <w:iCs/>
          <w:color w:val="5B9BD5"/>
          <w:sz w:val="21"/>
          <w:szCs w:val="21"/>
        </w:rPr>
        <w:t>, 202</w:t>
      </w:r>
      <w:r w:rsidR="003638DD">
        <w:rPr>
          <w:i/>
          <w:iCs/>
          <w:color w:val="5B9BD5"/>
          <w:sz w:val="21"/>
          <w:szCs w:val="21"/>
        </w:rPr>
        <w:t>4</w:t>
      </w:r>
    </w:p>
    <w:p w14:paraId="624D0BC1" w14:textId="77777777" w:rsidR="00784FB0" w:rsidRPr="006B00DC" w:rsidRDefault="00784FB0" w:rsidP="00784FB0">
      <w:pPr>
        <w:rPr>
          <w:b/>
          <w:bCs/>
          <w:color w:val="5B9BD5"/>
          <w:sz w:val="21"/>
          <w:szCs w:val="21"/>
        </w:rPr>
      </w:pPr>
    </w:p>
    <w:p w14:paraId="40C8D06B" w14:textId="51251425" w:rsidR="00853337" w:rsidRDefault="000F6C21" w:rsidP="000F6C21">
      <w:pPr>
        <w:rPr>
          <w:sz w:val="21"/>
          <w:szCs w:val="21"/>
        </w:rPr>
      </w:pPr>
      <w:r w:rsidRPr="006B00DC">
        <w:rPr>
          <w:sz w:val="21"/>
          <w:szCs w:val="21"/>
        </w:rPr>
        <w:t>If you are receiving this email, it is because you</w:t>
      </w:r>
      <w:r w:rsidR="001E5CD4" w:rsidRPr="006B00DC">
        <w:rPr>
          <w:sz w:val="21"/>
          <w:szCs w:val="21"/>
        </w:rPr>
        <w:t xml:space="preserve"> are a client and/or friend of t</w:t>
      </w:r>
      <w:r w:rsidRPr="006B00DC">
        <w:rPr>
          <w:sz w:val="21"/>
          <w:szCs w:val="21"/>
        </w:rPr>
        <w:t xml:space="preserve">he </w:t>
      </w:r>
      <w:r w:rsidR="008122E8">
        <w:rPr>
          <w:sz w:val="21"/>
          <w:szCs w:val="21"/>
        </w:rPr>
        <w:t>La Jolla</w:t>
      </w:r>
      <w:r w:rsidRPr="006B00DC">
        <w:rPr>
          <w:sz w:val="21"/>
          <w:szCs w:val="21"/>
        </w:rPr>
        <w:t xml:space="preserve"> </w:t>
      </w:r>
      <w:r w:rsidR="00695F62">
        <w:rPr>
          <w:sz w:val="21"/>
          <w:szCs w:val="21"/>
        </w:rPr>
        <w:t xml:space="preserve">Private </w:t>
      </w:r>
      <w:r w:rsidRPr="006B00DC">
        <w:rPr>
          <w:sz w:val="21"/>
          <w:szCs w:val="21"/>
        </w:rPr>
        <w:t xml:space="preserve">Wealth Group of Wells Fargo Advisors. The idea behind the </w:t>
      </w:r>
      <w:r w:rsidRPr="006B00DC">
        <w:rPr>
          <w:b/>
          <w:bCs/>
          <w:i/>
          <w:iCs/>
          <w:color w:val="5B9BD5"/>
          <w:sz w:val="21"/>
          <w:szCs w:val="21"/>
        </w:rPr>
        <w:t>San Diego Send-Off</w:t>
      </w:r>
      <w:r w:rsidRPr="006B00DC">
        <w:rPr>
          <w:i/>
          <w:iCs/>
          <w:sz w:val="21"/>
          <w:szCs w:val="21"/>
        </w:rPr>
        <w:t xml:space="preserve"> </w:t>
      </w:r>
      <w:r w:rsidRPr="006B00DC">
        <w:rPr>
          <w:sz w:val="21"/>
          <w:szCs w:val="21"/>
        </w:rPr>
        <w:t xml:space="preserve">is to keep you abreast of interesting trends we are seeing in the market/world. </w:t>
      </w:r>
    </w:p>
    <w:p w14:paraId="72F06286" w14:textId="77777777" w:rsidR="00784FB0" w:rsidRPr="006B00DC" w:rsidRDefault="00784FB0" w:rsidP="00784FB0">
      <w:pPr>
        <w:rPr>
          <w:sz w:val="21"/>
          <w:szCs w:val="21"/>
        </w:rPr>
      </w:pPr>
    </w:p>
    <w:p w14:paraId="0B009DBA" w14:textId="77777777" w:rsidR="00784FB0" w:rsidRPr="006B00DC" w:rsidRDefault="00784FB0" w:rsidP="00784FB0">
      <w:pPr>
        <w:rPr>
          <w:sz w:val="21"/>
          <w:szCs w:val="21"/>
        </w:rPr>
      </w:pPr>
      <w:r w:rsidRPr="006B00DC">
        <w:rPr>
          <w:sz w:val="21"/>
          <w:szCs w:val="21"/>
        </w:rPr>
        <w:t>Best Regards,</w:t>
      </w:r>
    </w:p>
    <w:p w14:paraId="31AFA38A" w14:textId="77777777" w:rsidR="00853337" w:rsidRPr="006B00DC" w:rsidRDefault="00853337" w:rsidP="00784FB0">
      <w:pPr>
        <w:rPr>
          <w:b/>
          <w:sz w:val="21"/>
          <w:szCs w:val="21"/>
        </w:rPr>
      </w:pPr>
    </w:p>
    <w:p w14:paraId="47BF07CB" w14:textId="77777777" w:rsidR="00397ACD" w:rsidRDefault="00397ACD" w:rsidP="00397ACD">
      <w:pPr>
        <w:rPr>
          <w:b/>
          <w:sz w:val="17"/>
          <w:szCs w:val="17"/>
        </w:rPr>
      </w:pPr>
      <w:r>
        <w:rPr>
          <w:b/>
          <w:sz w:val="18"/>
          <w:szCs w:val="18"/>
        </w:rPr>
        <w:t xml:space="preserve">Robert Palatella </w:t>
      </w:r>
      <w:r>
        <w:rPr>
          <w:b/>
          <w:sz w:val="18"/>
          <w:szCs w:val="18"/>
        </w:rPr>
        <w:tab/>
        <w:t xml:space="preserve">              Michael O’Brien                               Josh O’Brien, </w:t>
      </w:r>
      <w:r>
        <w:rPr>
          <w:rFonts w:eastAsiaTheme="minorEastAsia"/>
          <w:b/>
          <w:noProof/>
          <w:sz w:val="17"/>
          <w:szCs w:val="17"/>
        </w:rPr>
        <w:t>CFP®</w:t>
      </w:r>
      <w:r>
        <w:rPr>
          <w:b/>
          <w:bCs/>
          <w:sz w:val="17"/>
          <w:szCs w:val="17"/>
        </w:rPr>
        <w:t>, SE-AWMA</w:t>
      </w:r>
      <w:r>
        <w:rPr>
          <w:sz w:val="17"/>
          <w:szCs w:val="17"/>
        </w:rPr>
        <w:t>™</w:t>
      </w:r>
      <w:r>
        <w:rPr>
          <w:sz w:val="14"/>
          <w:szCs w:val="14"/>
        </w:rPr>
        <w:t xml:space="preserve">    </w:t>
      </w:r>
      <w:r>
        <w:rPr>
          <w:b/>
          <w:sz w:val="18"/>
          <w:szCs w:val="18"/>
        </w:rPr>
        <w:t>Melanie Gilmore,</w:t>
      </w:r>
      <w:r>
        <w:rPr>
          <w:b/>
          <w:bCs/>
          <w:sz w:val="18"/>
          <w:szCs w:val="18"/>
        </w:rPr>
        <w:t xml:space="preserve"> </w:t>
      </w:r>
      <w:r>
        <w:rPr>
          <w:b/>
          <w:bCs/>
          <w:sz w:val="17"/>
          <w:szCs w:val="17"/>
        </w:rPr>
        <w:t>CRPC®, AWMA®</w:t>
      </w:r>
      <w:r>
        <w:rPr>
          <w:b/>
          <w:sz w:val="17"/>
          <w:szCs w:val="17"/>
        </w:rPr>
        <w:t xml:space="preserve">    </w:t>
      </w:r>
    </w:p>
    <w:p w14:paraId="069ABF35" w14:textId="77777777" w:rsidR="00397ACD" w:rsidRDefault="00397ACD" w:rsidP="00397ACD">
      <w:pPr>
        <w:rPr>
          <w:sz w:val="18"/>
          <w:szCs w:val="18"/>
        </w:rPr>
      </w:pPr>
      <w:r>
        <w:rPr>
          <w:sz w:val="18"/>
          <w:szCs w:val="18"/>
        </w:rPr>
        <w:t>Managing Director                Private Wealth Financial Advisor   First Vice President                        Financial Advisor</w:t>
      </w:r>
      <w:r>
        <w:rPr>
          <w:sz w:val="18"/>
          <w:szCs w:val="18"/>
        </w:rPr>
        <w:tab/>
      </w:r>
      <w:r>
        <w:rPr>
          <w:sz w:val="18"/>
          <w:szCs w:val="18"/>
        </w:rPr>
        <w:tab/>
        <w:t xml:space="preserve">                      Senior PIM                              Managing Director                           Josh.obrien@wfa.com                   Melanie.gilmore@wfa.com</w:t>
      </w:r>
    </w:p>
    <w:p w14:paraId="79A5FA2A" w14:textId="77777777" w:rsidR="00397ACD" w:rsidRDefault="00397ACD" w:rsidP="00397ACD">
      <w:pPr>
        <w:rPr>
          <w:sz w:val="18"/>
          <w:szCs w:val="18"/>
        </w:rPr>
      </w:pPr>
      <w:r>
        <w:rPr>
          <w:sz w:val="18"/>
          <w:szCs w:val="18"/>
        </w:rPr>
        <w:t xml:space="preserve">Portfolio Manager                 Senior PIM                                                                                      </w:t>
      </w:r>
    </w:p>
    <w:p w14:paraId="6F7B1A03" w14:textId="77777777" w:rsidR="00397ACD" w:rsidRDefault="00396CBF" w:rsidP="00397ACD">
      <w:pPr>
        <w:rPr>
          <w:rStyle w:val="Hyperlink"/>
        </w:rPr>
      </w:pPr>
      <w:hyperlink r:id="rId8" w:history="1">
        <w:r w:rsidR="00397ACD">
          <w:rPr>
            <w:rStyle w:val="Hyperlink"/>
            <w:color w:val="auto"/>
            <w:sz w:val="18"/>
            <w:szCs w:val="18"/>
            <w:u w:val="none"/>
          </w:rPr>
          <w:t>Robert.palatella@wfa.com</w:t>
        </w:r>
      </w:hyperlink>
      <w:r w:rsidR="00397ACD">
        <w:t xml:space="preserve"> </w:t>
      </w:r>
      <w:r w:rsidR="00397ACD">
        <w:rPr>
          <w:sz w:val="18"/>
          <w:szCs w:val="18"/>
        </w:rPr>
        <w:t xml:space="preserve">Portfolio Manager               </w:t>
      </w:r>
      <w:r w:rsidR="00397ACD">
        <w:t xml:space="preserve">                                                     </w:t>
      </w:r>
      <w:r w:rsidR="00397ACD">
        <w:rPr>
          <w:sz w:val="18"/>
          <w:szCs w:val="18"/>
        </w:rPr>
        <w:t xml:space="preserve">                                                                                   </w:t>
      </w:r>
    </w:p>
    <w:p w14:paraId="60A1CF90" w14:textId="77777777" w:rsidR="00397ACD" w:rsidRDefault="00397ACD" w:rsidP="00397ACD">
      <w:r>
        <w:rPr>
          <w:sz w:val="18"/>
          <w:szCs w:val="18"/>
        </w:rPr>
        <w:t xml:space="preserve">                                                  Michael.j.obrien@wfa.com   </w:t>
      </w:r>
    </w:p>
    <w:p w14:paraId="6B1CF4BB" w14:textId="095AFC44" w:rsidR="009A20E4" w:rsidRDefault="009A20E4" w:rsidP="00B10BC9">
      <w:pPr>
        <w:rPr>
          <w:rFonts w:ascii="Verdana" w:eastAsia="Times New Roman" w:hAnsi="Verdana" w:cs="Times New Roman"/>
          <w:sz w:val="14"/>
          <w:szCs w:val="14"/>
        </w:rPr>
      </w:pPr>
    </w:p>
    <w:p w14:paraId="27883D51" w14:textId="2AD731D0" w:rsidR="00A277B9" w:rsidRPr="008122E8" w:rsidRDefault="00AD7E1F" w:rsidP="00804BA1">
      <w:pPr>
        <w:rPr>
          <w:rFonts w:ascii="Verdana" w:eastAsia="Times New Roman" w:hAnsi="Verdana" w:cs="Times New Roman"/>
          <w:sz w:val="16"/>
          <w:szCs w:val="16"/>
        </w:rPr>
      </w:pPr>
      <w:r w:rsidRPr="008122E8">
        <w:rPr>
          <w:rFonts w:ascii="Verdana" w:eastAsia="Times New Roman" w:hAnsi="Verdana" w:cs="Times New Roman"/>
          <w:b/>
          <w:bCs/>
          <w:sz w:val="16"/>
          <w:szCs w:val="16"/>
        </w:rPr>
        <w:t>La Jolla</w:t>
      </w:r>
      <w:r w:rsidR="00DC139A" w:rsidRPr="008122E8">
        <w:rPr>
          <w:rFonts w:ascii="Verdana" w:eastAsia="Times New Roman" w:hAnsi="Verdana" w:cs="Times New Roman"/>
          <w:b/>
          <w:bCs/>
          <w:sz w:val="16"/>
          <w:szCs w:val="16"/>
        </w:rPr>
        <w:t xml:space="preserve"> Private Wealth Group</w:t>
      </w:r>
      <w:r w:rsidR="00B10BC9" w:rsidRPr="008122E8">
        <w:rPr>
          <w:rFonts w:ascii="Verdana" w:eastAsia="Times New Roman" w:hAnsi="Verdana" w:cs="Times New Roman"/>
          <w:b/>
          <w:bCs/>
          <w:sz w:val="16"/>
          <w:szCs w:val="16"/>
        </w:rPr>
        <w:t>:</w:t>
      </w:r>
      <w:r w:rsidR="00B10BC9" w:rsidRPr="008122E8">
        <w:rPr>
          <w:rFonts w:ascii="Verdana" w:eastAsia="Times New Roman" w:hAnsi="Verdana" w:cs="Times New Roman"/>
          <w:sz w:val="16"/>
          <w:szCs w:val="16"/>
        </w:rPr>
        <w:t xml:space="preserve"> </w:t>
      </w:r>
      <w:hyperlink r:id="rId9" w:anchor="59bd938c42f0" w:history="1">
        <w:r w:rsidR="00DC139A" w:rsidRPr="008122E8">
          <w:rPr>
            <w:rStyle w:val="Hyperlink"/>
            <w:rFonts w:ascii="Verdana" w:eastAsia="Times New Roman" w:hAnsi="Verdana" w:cs="Times New Roman"/>
            <w:sz w:val="16"/>
            <w:szCs w:val="16"/>
          </w:rPr>
          <w:t>202</w:t>
        </w:r>
        <w:r w:rsidR="00110758">
          <w:rPr>
            <w:rStyle w:val="Hyperlink"/>
            <w:rFonts w:ascii="Verdana" w:eastAsia="Times New Roman" w:hAnsi="Verdana" w:cs="Times New Roman"/>
            <w:sz w:val="16"/>
            <w:szCs w:val="16"/>
          </w:rPr>
          <w:t>4</w:t>
        </w:r>
        <w:r w:rsidR="00DC139A" w:rsidRPr="008122E8">
          <w:rPr>
            <w:rStyle w:val="Hyperlink"/>
            <w:rFonts w:ascii="Verdana" w:eastAsia="Times New Roman" w:hAnsi="Verdana" w:cs="Times New Roman"/>
            <w:sz w:val="16"/>
            <w:szCs w:val="16"/>
          </w:rPr>
          <w:t xml:space="preserve"> Forbes Best-In-State Wealth Management Teams</w:t>
        </w:r>
      </w:hyperlink>
      <w:r w:rsidR="00B10BC9" w:rsidRPr="008122E8">
        <w:rPr>
          <w:rFonts w:ascii="Verdana" w:eastAsia="Times New Roman" w:hAnsi="Verdana" w:cs="Times New Roman"/>
          <w:sz w:val="16"/>
          <w:szCs w:val="16"/>
        </w:rPr>
        <w:t xml:space="preserve">. </w:t>
      </w:r>
      <w:r w:rsidR="000F75F6" w:rsidRPr="008122E8">
        <w:rPr>
          <w:rFonts w:ascii="Verdana" w:hAnsi="Verdana"/>
          <w:sz w:val="16"/>
          <w:szCs w:val="16"/>
          <w:lang w:val="en"/>
        </w:rPr>
        <w:t xml:space="preserve">The Forbes Best-In-State Wealth </w:t>
      </w:r>
      <w:r w:rsidR="00DC139A" w:rsidRPr="008122E8">
        <w:rPr>
          <w:rFonts w:ascii="Verdana" w:hAnsi="Verdana"/>
          <w:sz w:val="16"/>
          <w:szCs w:val="16"/>
          <w:lang w:val="en"/>
        </w:rPr>
        <w:t>Management Teams</w:t>
      </w:r>
      <w:r w:rsidR="000F75F6" w:rsidRPr="008122E8">
        <w:rPr>
          <w:rFonts w:ascii="Verdana" w:hAnsi="Verdana"/>
          <w:sz w:val="16"/>
          <w:szCs w:val="16"/>
          <w:lang w:val="en"/>
        </w:rPr>
        <w:t xml:space="preserve"> rating algorithm is based on the previous year’s industry experience, interviews, compliance records, assets under management, </w:t>
      </w:r>
      <w:proofErr w:type="gramStart"/>
      <w:r w:rsidR="000F75F6" w:rsidRPr="008122E8">
        <w:rPr>
          <w:rFonts w:ascii="Verdana" w:hAnsi="Verdana"/>
          <w:sz w:val="16"/>
          <w:szCs w:val="16"/>
          <w:lang w:val="en"/>
        </w:rPr>
        <w:t>revenue</w:t>
      </w:r>
      <w:proofErr w:type="gramEnd"/>
      <w:r w:rsidR="000F75F6" w:rsidRPr="008122E8">
        <w:rPr>
          <w:rFonts w:ascii="Verdana" w:hAnsi="Verdana"/>
          <w:sz w:val="16"/>
          <w:szCs w:val="16"/>
          <w:lang w:val="en"/>
        </w:rPr>
        <w:t xml:space="preserve"> and other criteria by SHOOK Research, LLC</w:t>
      </w:r>
      <w:r w:rsidR="00100C05" w:rsidRPr="008122E8">
        <w:rPr>
          <w:rFonts w:ascii="Verdana" w:hAnsi="Verdana"/>
          <w:sz w:val="16"/>
          <w:szCs w:val="16"/>
          <w:lang w:val="en"/>
        </w:rPr>
        <w:t xml:space="preserve">. </w:t>
      </w:r>
      <w:r w:rsidR="000F75F6" w:rsidRPr="008122E8">
        <w:rPr>
          <w:rFonts w:ascii="Verdana" w:hAnsi="Verdana"/>
          <w:sz w:val="16"/>
          <w:szCs w:val="16"/>
          <w:lang w:val="en"/>
        </w:rPr>
        <w:t>Investment performance is not a criterion. Self-completed survey was used for rating. This rating is not related to the quality of the investment advice and based solely on the disclosed criteria. Fee paid for use of logo.</w:t>
      </w:r>
    </w:p>
    <w:p w14:paraId="49F6592B" w14:textId="4CDEF3FC" w:rsidR="00F57D76" w:rsidRDefault="00F57D76" w:rsidP="00F57D76">
      <w:pPr>
        <w:autoSpaceDE w:val="0"/>
        <w:autoSpaceDN w:val="0"/>
        <w:adjustRightInd w:val="0"/>
        <w:jc w:val="both"/>
        <w:rPr>
          <w:b/>
          <w:bCs/>
          <w:color w:val="5B9BD5"/>
        </w:rPr>
      </w:pPr>
    </w:p>
    <w:p w14:paraId="52730BFA" w14:textId="6DDF0664" w:rsidR="005F595C" w:rsidRPr="00A85D60" w:rsidRDefault="009E4176" w:rsidP="00F57D76">
      <w:pPr>
        <w:autoSpaceDE w:val="0"/>
        <w:autoSpaceDN w:val="0"/>
        <w:adjustRightInd w:val="0"/>
        <w:jc w:val="both"/>
        <w:rPr>
          <w:b/>
          <w:bCs/>
          <w:color w:val="5B9BD5"/>
          <w:sz w:val="21"/>
          <w:szCs w:val="21"/>
        </w:rPr>
      </w:pPr>
      <w:r>
        <w:rPr>
          <w:b/>
          <w:bCs/>
          <w:color w:val="5B9BD5"/>
        </w:rPr>
        <w:t xml:space="preserve">U.S. stocks and bonds historically have performed well following the end of a Fed rate hike </w:t>
      </w:r>
      <w:proofErr w:type="gramStart"/>
      <w:r>
        <w:rPr>
          <w:b/>
          <w:bCs/>
          <w:color w:val="5B9BD5"/>
        </w:rPr>
        <w:t>cycle</w:t>
      </w:r>
      <w:proofErr w:type="gramEnd"/>
    </w:p>
    <w:p w14:paraId="74741435" w14:textId="0348029E" w:rsidR="009D1515" w:rsidRDefault="004F7767" w:rsidP="003E6610">
      <w:pPr>
        <w:autoSpaceDE w:val="0"/>
        <w:autoSpaceDN w:val="0"/>
        <w:adjustRightInd w:val="0"/>
        <w:jc w:val="center"/>
        <w:rPr>
          <w:rFonts w:ascii="Times New Roman" w:hAnsi="Times New Roman" w:cs="Times New Roman"/>
          <w:sz w:val="16"/>
          <w:szCs w:val="14"/>
          <w:lang w:eastAsia="x-none"/>
        </w:rPr>
      </w:pPr>
      <w:r>
        <w:rPr>
          <w:noProof/>
        </w:rPr>
        <w:drawing>
          <wp:inline distT="0" distB="0" distL="0" distR="0" wp14:anchorId="7C99079D" wp14:editId="2EA32A61">
            <wp:extent cx="6494576" cy="47529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01924" cy="4758353"/>
                    </a:xfrm>
                    <a:prstGeom prst="rect">
                      <a:avLst/>
                    </a:prstGeom>
                  </pic:spPr>
                </pic:pic>
              </a:graphicData>
            </a:graphic>
          </wp:inline>
        </w:drawing>
      </w:r>
    </w:p>
    <w:p w14:paraId="4BAD6022" w14:textId="0B60E116" w:rsidR="004354FA" w:rsidRPr="00BD306D" w:rsidRDefault="00027399" w:rsidP="004354FA">
      <w:pPr>
        <w:rPr>
          <w:sz w:val="12"/>
        </w:rPr>
      </w:pPr>
      <w:r>
        <w:rPr>
          <w:rStyle w:val="Hyperlink"/>
          <w:b/>
          <w:bCs/>
          <w:color w:val="5B9BD5"/>
          <w:u w:val="none"/>
        </w:rPr>
        <w:lastRenderedPageBreak/>
        <w:t>According to Zillow, home prices rose 3.2% between Dec 2022 and Dec 2023</w:t>
      </w:r>
    </w:p>
    <w:p w14:paraId="15DBDFFE" w14:textId="5B8B305F" w:rsidR="009D1515" w:rsidRDefault="004F7767" w:rsidP="009D1515">
      <w:pPr>
        <w:autoSpaceDE w:val="0"/>
        <w:autoSpaceDN w:val="0"/>
        <w:adjustRightInd w:val="0"/>
        <w:jc w:val="center"/>
        <w:rPr>
          <w:rFonts w:ascii="Times New Roman" w:hAnsi="Times New Roman" w:cs="Times New Roman"/>
          <w:sz w:val="16"/>
          <w:szCs w:val="14"/>
          <w:lang w:eastAsia="x-none"/>
        </w:rPr>
      </w:pPr>
      <w:r>
        <w:rPr>
          <w:rFonts w:ascii="Times New Roman" w:hAnsi="Times New Roman" w:cs="Times New Roman"/>
          <w:noProof/>
          <w:sz w:val="16"/>
          <w:szCs w:val="14"/>
          <w:lang w:eastAsia="x-none"/>
        </w:rPr>
        <w:drawing>
          <wp:inline distT="0" distB="0" distL="0" distR="0" wp14:anchorId="05CB9770" wp14:editId="41EE602C">
            <wp:extent cx="4333875" cy="4333875"/>
            <wp:effectExtent l="0" t="0" r="9525" b="9525"/>
            <wp:docPr id="26" name="Picture 26"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map of the united stat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3875" cy="4333875"/>
                    </a:xfrm>
                    <a:prstGeom prst="rect">
                      <a:avLst/>
                    </a:prstGeom>
                  </pic:spPr>
                </pic:pic>
              </a:graphicData>
            </a:graphic>
          </wp:inline>
        </w:drawing>
      </w:r>
    </w:p>
    <w:p w14:paraId="7ADBFA61" w14:textId="77777777" w:rsidR="00A94749" w:rsidRDefault="00A94749" w:rsidP="00D70419">
      <w:pPr>
        <w:rPr>
          <w:b/>
          <w:bCs/>
          <w:color w:val="5B9BD5"/>
        </w:rPr>
      </w:pPr>
    </w:p>
    <w:p w14:paraId="60D2E235" w14:textId="7A57BB5F" w:rsidR="00057D33" w:rsidRDefault="00F46D98" w:rsidP="001B32DA">
      <w:pPr>
        <w:rPr>
          <w:b/>
          <w:bCs/>
          <w:color w:val="5B9BD5"/>
        </w:rPr>
      </w:pPr>
      <w:r>
        <w:rPr>
          <w:b/>
          <w:bCs/>
          <w:color w:val="5B9BD5"/>
        </w:rPr>
        <w:t xml:space="preserve">Integration of </w:t>
      </w:r>
      <w:r w:rsidR="004F7767">
        <w:rPr>
          <w:b/>
          <w:bCs/>
          <w:color w:val="5B9BD5"/>
        </w:rPr>
        <w:t>AI</w:t>
      </w:r>
      <w:r>
        <w:rPr>
          <w:b/>
          <w:bCs/>
          <w:color w:val="5B9BD5"/>
        </w:rPr>
        <w:t xml:space="preserve"> into digital advertising remains a potential growth driver for streaming </w:t>
      </w:r>
      <w:proofErr w:type="gramStart"/>
      <w:r>
        <w:rPr>
          <w:b/>
          <w:bCs/>
          <w:color w:val="5B9BD5"/>
        </w:rPr>
        <w:t>providers</w:t>
      </w:r>
      <w:proofErr w:type="gramEnd"/>
      <w:r>
        <w:rPr>
          <w:b/>
          <w:bCs/>
          <w:color w:val="5B9BD5"/>
        </w:rPr>
        <w:t xml:space="preserve"> </w:t>
      </w:r>
    </w:p>
    <w:p w14:paraId="1FB78F37" w14:textId="74C7B016" w:rsidR="002C399F" w:rsidRDefault="00F46D98" w:rsidP="002C399F">
      <w:pPr>
        <w:jc w:val="center"/>
        <w:rPr>
          <w:rStyle w:val="Hyperlink"/>
          <w:b/>
          <w:color w:val="5B9BD5" w:themeColor="accent1"/>
          <w:u w:val="none"/>
        </w:rPr>
      </w:pPr>
      <w:r>
        <w:rPr>
          <w:b/>
          <w:noProof/>
          <w:color w:val="5B9BD5" w:themeColor="accent1"/>
        </w:rPr>
        <w:drawing>
          <wp:inline distT="0" distB="0" distL="0" distR="0" wp14:anchorId="2BBB2651" wp14:editId="459A0CEB">
            <wp:extent cx="3333750" cy="3333750"/>
            <wp:effectExtent l="0" t="0" r="0" b="0"/>
            <wp:docPr id="20" name="Picture 20" descr="A graph of a computer monitor and a moni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a computer monitor and a monitor&#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3750" cy="3333750"/>
                    </a:xfrm>
                    <a:prstGeom prst="rect">
                      <a:avLst/>
                    </a:prstGeom>
                  </pic:spPr>
                </pic:pic>
              </a:graphicData>
            </a:graphic>
          </wp:inline>
        </w:drawing>
      </w:r>
    </w:p>
    <w:p w14:paraId="7304138C" w14:textId="04EDBF09" w:rsidR="00E31403" w:rsidRDefault="001D61D8" w:rsidP="00CC4DF1">
      <w:pPr>
        <w:rPr>
          <w:rStyle w:val="Hyperlink"/>
          <w:b/>
          <w:color w:val="5B9BD5" w:themeColor="accent1"/>
          <w:u w:val="none"/>
        </w:rPr>
      </w:pPr>
      <w:r>
        <w:rPr>
          <w:rStyle w:val="Hyperlink"/>
          <w:b/>
          <w:color w:val="5B9BD5" w:themeColor="accent1"/>
          <w:u w:val="none"/>
        </w:rPr>
        <w:lastRenderedPageBreak/>
        <w:t xml:space="preserve">The risk/reward of owning bonds </w:t>
      </w:r>
      <w:r w:rsidR="00F65632">
        <w:rPr>
          <w:rStyle w:val="Hyperlink"/>
          <w:b/>
          <w:color w:val="5B9BD5" w:themeColor="accent1"/>
          <w:u w:val="none"/>
        </w:rPr>
        <w:t xml:space="preserve">has improved with high current interest </w:t>
      </w:r>
      <w:proofErr w:type="gramStart"/>
      <w:r w:rsidR="00F65632">
        <w:rPr>
          <w:rStyle w:val="Hyperlink"/>
          <w:b/>
          <w:color w:val="5B9BD5" w:themeColor="accent1"/>
          <w:u w:val="none"/>
        </w:rPr>
        <w:t>rates</w:t>
      </w:r>
      <w:proofErr w:type="gramEnd"/>
    </w:p>
    <w:p w14:paraId="285ABF0A" w14:textId="1EE91734" w:rsidR="009D1515" w:rsidRDefault="00F65632" w:rsidP="009D1515">
      <w:pPr>
        <w:autoSpaceDE w:val="0"/>
        <w:autoSpaceDN w:val="0"/>
        <w:adjustRightInd w:val="0"/>
        <w:jc w:val="center"/>
        <w:rPr>
          <w:rFonts w:ascii="Times New Roman" w:hAnsi="Times New Roman" w:cs="Times New Roman"/>
          <w:sz w:val="16"/>
          <w:szCs w:val="14"/>
          <w:lang w:eastAsia="x-none"/>
        </w:rPr>
      </w:pPr>
      <w:r w:rsidRPr="00F65632">
        <w:rPr>
          <w:rFonts w:ascii="Times New Roman" w:hAnsi="Times New Roman" w:cs="Times New Roman"/>
          <w:noProof/>
          <w:sz w:val="16"/>
          <w:szCs w:val="14"/>
          <w:lang w:eastAsia="x-none"/>
        </w:rPr>
        <w:drawing>
          <wp:inline distT="0" distB="0" distL="0" distR="0" wp14:anchorId="6F2BE02F" wp14:editId="4208DA61">
            <wp:extent cx="6381750" cy="6362700"/>
            <wp:effectExtent l="0" t="0" r="0" b="0"/>
            <wp:docPr id="8" name="Chart 8" descr="Bar chart showing the impact on return of a 1% rise or fall in interest rates for the following fixed income instruments or indexes: T-bills, 2-year U.S. Treasury note, 5-year U.S. Treasury note, 10-year U.S. Treasury note, 30-year U.S. Treasury bond, IG taxable fixed Income, IG corporates, High yield, Asset-backed securities, Mortgage-backed securities, Municipals. If interest rates were to rise 1%, returns would fall for most assets shown except T-bills, the 2-yearTreasury, high yield, and asset-backed securities. If interest rates were to fall 1%, returns would increase for all assets shown. The impact to return of a 1% move in interest rates longer-dated instruments like the 10-year and 30-year Treasuries would be larger than the impact for shorter-dated instruments like T-bills and the 2-year Treasury.">
              <a:extLst xmlns:a="http://schemas.openxmlformats.org/drawingml/2006/main">
                <a:ext uri="{FF2B5EF4-FFF2-40B4-BE49-F238E27FC236}">
                  <a16:creationId xmlns:a16="http://schemas.microsoft.com/office/drawing/2014/main" id="{199541C6-81CC-155B-B89E-0AC6A7553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CBE61F" w14:textId="77777777" w:rsidR="00F65632" w:rsidRPr="00F65632" w:rsidRDefault="00F65632" w:rsidP="00F65632">
      <w:pPr>
        <w:rPr>
          <w:rFonts w:asciiTheme="minorHAnsi" w:hAnsiTheme="minorHAnsi" w:cstheme="minorHAnsi"/>
          <w:sz w:val="14"/>
          <w:szCs w:val="12"/>
          <w:lang w:eastAsia="x-none"/>
        </w:rPr>
      </w:pPr>
      <w:r w:rsidRPr="00F65632">
        <w:rPr>
          <w:rFonts w:asciiTheme="minorHAnsi" w:hAnsiTheme="minorHAnsi" w:cstheme="minorHAnsi"/>
          <w:sz w:val="14"/>
          <w:szCs w:val="12"/>
          <w:lang w:eastAsia="x-none"/>
        </w:rPr>
        <w:t xml:space="preserve">Sources: Bloomberg and Wells Fargo Investment Institute, as of December 31, 2023. For illustrative purposes only. T-bills (Treasury bills): Bloomberg U.S. Treasury Bills (1–3M) Index, Investment-grade (IG) taxable fixed income: Bloomberg U.S. Aggregate Bond Index. IG corporates: Bloomberg U.S. Corporate Bond Index, High yield: Bloomberg U.S. Corporate High Yield Bond Index, Asset-backed securities: Bloomberg U.S. Asset Backed Securities Index, Mortgage-backed securities: Bloomberg U.S. </w:t>
      </w:r>
      <w:proofErr w:type="gramStart"/>
      <w:r w:rsidRPr="00F65632">
        <w:rPr>
          <w:rFonts w:asciiTheme="minorHAnsi" w:hAnsiTheme="minorHAnsi" w:cstheme="minorHAnsi"/>
          <w:sz w:val="14"/>
          <w:szCs w:val="12"/>
          <w:lang w:eastAsia="x-none"/>
        </w:rPr>
        <w:t>Mortgage Backed</w:t>
      </w:r>
      <w:proofErr w:type="gramEnd"/>
      <w:r w:rsidRPr="00F65632">
        <w:rPr>
          <w:rFonts w:asciiTheme="minorHAnsi" w:hAnsiTheme="minorHAnsi" w:cstheme="minorHAnsi"/>
          <w:sz w:val="14"/>
          <w:szCs w:val="12"/>
          <w:lang w:eastAsia="x-none"/>
        </w:rPr>
        <w:t xml:space="preserve"> Securities Index, Municipals: Bloomberg Municipal Index. Yields represent past performance and fluctuate with market conditions. Current yields may be higher or lower than those quoted above. An index is unmanaged and not available for direct investment </w:t>
      </w:r>
      <w:r w:rsidRPr="00F65632">
        <w:rPr>
          <w:rFonts w:asciiTheme="minorHAnsi" w:hAnsiTheme="minorHAnsi" w:cstheme="minorHAnsi"/>
          <w:b/>
          <w:bCs/>
          <w:sz w:val="14"/>
          <w:szCs w:val="12"/>
          <w:lang w:eastAsia="x-none"/>
        </w:rPr>
        <w:t xml:space="preserve">Past performance is no guarantee of future results. </w:t>
      </w:r>
      <w:r w:rsidRPr="00F65632">
        <w:rPr>
          <w:rFonts w:asciiTheme="minorHAnsi" w:hAnsiTheme="minorHAnsi" w:cstheme="minorHAnsi"/>
          <w:sz w:val="14"/>
          <w:szCs w:val="12"/>
          <w:lang w:eastAsia="x-none"/>
        </w:rPr>
        <w:t xml:space="preserve">See index definitions on following page. Bonds are subject to market, interest rate, price, credit/default, liquidity, </w:t>
      </w:r>
      <w:proofErr w:type="gramStart"/>
      <w:r w:rsidRPr="00F65632">
        <w:rPr>
          <w:rFonts w:asciiTheme="minorHAnsi" w:hAnsiTheme="minorHAnsi" w:cstheme="minorHAnsi"/>
          <w:sz w:val="14"/>
          <w:szCs w:val="12"/>
          <w:lang w:eastAsia="x-none"/>
        </w:rPr>
        <w:t>inflation</w:t>
      </w:r>
      <w:proofErr w:type="gramEnd"/>
      <w:r w:rsidRPr="00F65632">
        <w:rPr>
          <w:rFonts w:asciiTheme="minorHAnsi" w:hAnsiTheme="minorHAnsi" w:cstheme="minorHAnsi"/>
          <w:sz w:val="14"/>
          <w:szCs w:val="12"/>
          <w:lang w:eastAsia="x-none"/>
        </w:rPr>
        <w:t xml:space="preserve"> and other risks. Prices tend to be inversely affected by changes in interest rates. High-yield fixed-income securities are considered speculative, involve greater risk of default, and tend to be more volatile than investment-grade fixed-income securities. Although Treasuries are considered free from credit </w:t>
      </w:r>
      <w:proofErr w:type="gramStart"/>
      <w:r w:rsidRPr="00F65632">
        <w:rPr>
          <w:rFonts w:asciiTheme="minorHAnsi" w:hAnsiTheme="minorHAnsi" w:cstheme="minorHAnsi"/>
          <w:sz w:val="14"/>
          <w:szCs w:val="12"/>
          <w:lang w:eastAsia="x-none"/>
        </w:rPr>
        <w:t>risk</w:t>
      </w:r>
      <w:proofErr w:type="gramEnd"/>
      <w:r w:rsidRPr="00F65632">
        <w:rPr>
          <w:rFonts w:asciiTheme="minorHAnsi" w:hAnsiTheme="minorHAnsi" w:cstheme="minorHAnsi"/>
          <w:sz w:val="14"/>
          <w:szCs w:val="12"/>
          <w:lang w:eastAsia="x-none"/>
        </w:rPr>
        <w:t xml:space="preserve"> they are subject to other types of risks. These risks include interest rate risk, which may cause the underlying value of the bond to fluctuate. In addition to the risks associated with investment in debt securities, a fund’s investments in mortgage-backed and asset-backed securities will be subject to prepayment, </w:t>
      </w:r>
      <w:proofErr w:type="gramStart"/>
      <w:r w:rsidRPr="00F65632">
        <w:rPr>
          <w:rFonts w:asciiTheme="minorHAnsi" w:hAnsiTheme="minorHAnsi" w:cstheme="minorHAnsi"/>
          <w:sz w:val="14"/>
          <w:szCs w:val="12"/>
          <w:lang w:eastAsia="x-none"/>
        </w:rPr>
        <w:t>extension</w:t>
      </w:r>
      <w:proofErr w:type="gramEnd"/>
      <w:r w:rsidRPr="00F65632">
        <w:rPr>
          <w:rFonts w:asciiTheme="minorHAnsi" w:hAnsiTheme="minorHAnsi" w:cstheme="minorHAnsi"/>
          <w:sz w:val="14"/>
          <w:szCs w:val="12"/>
          <w:lang w:eastAsia="x-none"/>
        </w:rPr>
        <w:t xml:space="preserve"> and call risks. Municipal bonds are subject to credit risk and potentially the Alternative Minimum Tax (AMT). Quality varies widely depending on the specific issuer. Municipal bonds offer interest payments exempt from federal taxes, and potentially state and local income taxes. Municipal securities are also subject to legislative and regulatory risk which is the risk that a change in the tax code could affect the value of taxable or tax-exempt interest income.</w:t>
      </w:r>
    </w:p>
    <w:p w14:paraId="7F3F4D6B" w14:textId="77777777" w:rsidR="00571DEB" w:rsidRDefault="00571DEB" w:rsidP="00B01C8D">
      <w:pPr>
        <w:rPr>
          <w:rStyle w:val="Hyperlink"/>
          <w:b/>
          <w:bCs/>
          <w:color w:val="5B9BD5"/>
          <w:u w:val="none"/>
        </w:rPr>
      </w:pPr>
    </w:p>
    <w:p w14:paraId="057FD389" w14:textId="19DEA020" w:rsidR="00C57630" w:rsidRPr="009C3292" w:rsidRDefault="00F46D98" w:rsidP="009C3292">
      <w:pPr>
        <w:rPr>
          <w:b/>
          <w:color w:val="5B9BD5" w:themeColor="accent1"/>
        </w:rPr>
      </w:pPr>
      <w:r>
        <w:rPr>
          <w:b/>
          <w:bCs/>
          <w:color w:val="5B9BD5"/>
        </w:rPr>
        <w:lastRenderedPageBreak/>
        <w:t xml:space="preserve">Texas, South Carolina, and Florida saw the largest population growth from 2022 to </w:t>
      </w:r>
      <w:proofErr w:type="gramStart"/>
      <w:r>
        <w:rPr>
          <w:b/>
          <w:bCs/>
          <w:color w:val="5B9BD5"/>
        </w:rPr>
        <w:t>2023</w:t>
      </w:r>
      <w:proofErr w:type="gramEnd"/>
    </w:p>
    <w:p w14:paraId="279471CE" w14:textId="1ECC9DCA" w:rsidR="009D1515" w:rsidRDefault="00F46D98" w:rsidP="009D1515">
      <w:pPr>
        <w:autoSpaceDE w:val="0"/>
        <w:autoSpaceDN w:val="0"/>
        <w:adjustRightInd w:val="0"/>
        <w:jc w:val="center"/>
        <w:rPr>
          <w:rFonts w:ascii="Times New Roman" w:hAnsi="Times New Roman" w:cs="Times New Roman"/>
          <w:sz w:val="16"/>
          <w:szCs w:val="14"/>
          <w:lang w:eastAsia="x-none"/>
        </w:rPr>
      </w:pPr>
      <w:r>
        <w:rPr>
          <w:rFonts w:ascii="Times New Roman" w:hAnsi="Times New Roman" w:cs="Times New Roman"/>
          <w:noProof/>
          <w:sz w:val="16"/>
          <w:szCs w:val="14"/>
          <w:lang w:eastAsia="x-none"/>
        </w:rPr>
        <w:drawing>
          <wp:inline distT="0" distB="0" distL="0" distR="0" wp14:anchorId="2ACE16FD" wp14:editId="1127F977">
            <wp:extent cx="3876675" cy="3876675"/>
            <wp:effectExtent l="0" t="0" r="9525" b="9525"/>
            <wp:docPr id="19" name="Picture 19"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p of the united stat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6675" cy="3876675"/>
                    </a:xfrm>
                    <a:prstGeom prst="rect">
                      <a:avLst/>
                    </a:prstGeom>
                  </pic:spPr>
                </pic:pic>
              </a:graphicData>
            </a:graphic>
          </wp:inline>
        </w:drawing>
      </w:r>
    </w:p>
    <w:p w14:paraId="038F8B3C" w14:textId="77777777" w:rsidR="00D73794" w:rsidRPr="00B01C8D" w:rsidRDefault="00D73794" w:rsidP="005E3951">
      <w:pPr>
        <w:rPr>
          <w:rStyle w:val="Hyperlink"/>
          <w:b/>
          <w:bCs/>
          <w:color w:val="5B9BD5"/>
          <w:sz w:val="21"/>
          <w:szCs w:val="21"/>
          <w:u w:val="none"/>
        </w:rPr>
      </w:pPr>
    </w:p>
    <w:p w14:paraId="3FAEE60D" w14:textId="77777777" w:rsidR="004F7767" w:rsidRPr="00BD306D" w:rsidRDefault="004F7767" w:rsidP="004F7767">
      <w:pPr>
        <w:rPr>
          <w:sz w:val="12"/>
        </w:rPr>
      </w:pPr>
      <w:r>
        <w:rPr>
          <w:rStyle w:val="Hyperlink"/>
          <w:b/>
          <w:bCs/>
          <w:color w:val="5B9BD5"/>
          <w:u w:val="none"/>
        </w:rPr>
        <w:t xml:space="preserve">A 30-second ad during the Super Bowl costed $7 million in </w:t>
      </w:r>
      <w:proofErr w:type="gramStart"/>
      <w:r>
        <w:rPr>
          <w:rStyle w:val="Hyperlink"/>
          <w:b/>
          <w:bCs/>
          <w:color w:val="5B9BD5"/>
          <w:u w:val="none"/>
        </w:rPr>
        <w:t>2024</w:t>
      </w:r>
      <w:proofErr w:type="gramEnd"/>
    </w:p>
    <w:p w14:paraId="33786B26" w14:textId="1F2E3B32" w:rsidR="00184002" w:rsidRDefault="004F7767" w:rsidP="00184002">
      <w:pPr>
        <w:jc w:val="center"/>
        <w:rPr>
          <w:noProof/>
        </w:rPr>
      </w:pPr>
      <w:r>
        <w:rPr>
          <w:rFonts w:ascii="Times New Roman" w:hAnsi="Times New Roman" w:cs="Times New Roman"/>
          <w:noProof/>
          <w:sz w:val="16"/>
          <w:szCs w:val="14"/>
          <w:lang w:eastAsia="x-none"/>
        </w:rPr>
        <w:drawing>
          <wp:inline distT="0" distB="0" distL="0" distR="0" wp14:anchorId="4BA1A4E9" wp14:editId="13405DE2">
            <wp:extent cx="3743325" cy="3740126"/>
            <wp:effectExtent l="0" t="0" r="0" b="0"/>
            <wp:docPr id="24" name="Picture 24" descr="A graph with a line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with a line and a blue 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2073" cy="3748866"/>
                    </a:xfrm>
                    <a:prstGeom prst="rect">
                      <a:avLst/>
                    </a:prstGeom>
                  </pic:spPr>
                </pic:pic>
              </a:graphicData>
            </a:graphic>
          </wp:inline>
        </w:drawing>
      </w:r>
    </w:p>
    <w:p w14:paraId="5E0995FE" w14:textId="6C5ADC8A" w:rsidR="00E01956" w:rsidRPr="00EB7CC8" w:rsidRDefault="00C10467" w:rsidP="00E01956">
      <w:pPr>
        <w:rPr>
          <w:b/>
          <w:bCs/>
          <w:color w:val="5B9BD5"/>
        </w:rPr>
      </w:pPr>
      <w:r>
        <w:rPr>
          <w:b/>
          <w:bCs/>
          <w:color w:val="5B9BD5"/>
        </w:rPr>
        <w:lastRenderedPageBreak/>
        <w:t xml:space="preserve">4 in 10 American adults say they’re almost always online, up from just 24% in </w:t>
      </w:r>
      <w:proofErr w:type="gramStart"/>
      <w:r>
        <w:rPr>
          <w:b/>
          <w:bCs/>
          <w:color w:val="5B9BD5"/>
        </w:rPr>
        <w:t>2015</w:t>
      </w:r>
      <w:proofErr w:type="gramEnd"/>
    </w:p>
    <w:p w14:paraId="2065E519" w14:textId="013BC1C1" w:rsidR="0077193B" w:rsidRPr="009C3292" w:rsidRDefault="00C10467" w:rsidP="009C3292">
      <w:pPr>
        <w:autoSpaceDE w:val="0"/>
        <w:autoSpaceDN w:val="0"/>
        <w:adjustRightInd w:val="0"/>
        <w:jc w:val="center"/>
        <w:rPr>
          <w:rFonts w:ascii="Times New Roman" w:hAnsi="Times New Roman" w:cs="Times New Roman"/>
          <w:sz w:val="16"/>
          <w:szCs w:val="14"/>
          <w:lang w:eastAsia="x-none"/>
        </w:rPr>
      </w:pPr>
      <w:r>
        <w:rPr>
          <w:rFonts w:ascii="Times New Roman" w:hAnsi="Times New Roman" w:cs="Times New Roman"/>
          <w:noProof/>
          <w:sz w:val="16"/>
          <w:szCs w:val="14"/>
          <w:lang w:eastAsia="x-none"/>
        </w:rPr>
        <w:drawing>
          <wp:inline distT="0" distB="0" distL="0" distR="0" wp14:anchorId="6C84B146" wp14:editId="251E296D">
            <wp:extent cx="3886200" cy="3886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6200" cy="3886200"/>
                    </a:xfrm>
                    <a:prstGeom prst="rect">
                      <a:avLst/>
                    </a:prstGeom>
                  </pic:spPr>
                </pic:pic>
              </a:graphicData>
            </a:graphic>
          </wp:inline>
        </w:drawing>
      </w:r>
    </w:p>
    <w:p w14:paraId="52C1DD3B" w14:textId="77777777" w:rsidR="00EF145A" w:rsidRDefault="00EF145A" w:rsidP="009C3292">
      <w:pPr>
        <w:autoSpaceDE w:val="0"/>
        <w:autoSpaceDN w:val="0"/>
        <w:adjustRightInd w:val="0"/>
        <w:jc w:val="center"/>
        <w:rPr>
          <w:b/>
          <w:color w:val="5B9BD5" w:themeColor="accent1"/>
        </w:rPr>
      </w:pPr>
    </w:p>
    <w:p w14:paraId="29924A9A" w14:textId="60574E41" w:rsidR="002C399F" w:rsidRPr="00EB7CC8" w:rsidRDefault="00F65632" w:rsidP="002C399F">
      <w:pPr>
        <w:rPr>
          <w:b/>
          <w:bCs/>
          <w:color w:val="5B9BD5"/>
        </w:rPr>
      </w:pPr>
      <w:r>
        <w:rPr>
          <w:b/>
          <w:bCs/>
          <w:color w:val="5B9BD5"/>
        </w:rPr>
        <w:t xml:space="preserve">Rising rates coupled with low supply has led to the most unaffordable housing market in </w:t>
      </w:r>
      <w:proofErr w:type="gramStart"/>
      <w:r>
        <w:rPr>
          <w:b/>
          <w:bCs/>
          <w:color w:val="5B9BD5"/>
        </w:rPr>
        <w:t>decades</w:t>
      </w:r>
      <w:proofErr w:type="gramEnd"/>
    </w:p>
    <w:p w14:paraId="6C44B4CF" w14:textId="2AF4C5CD" w:rsidR="002C399F" w:rsidRPr="009C3292" w:rsidRDefault="00335BAA" w:rsidP="002C399F">
      <w:pPr>
        <w:autoSpaceDE w:val="0"/>
        <w:autoSpaceDN w:val="0"/>
        <w:adjustRightInd w:val="0"/>
        <w:jc w:val="center"/>
        <w:rPr>
          <w:rFonts w:ascii="Times New Roman" w:hAnsi="Times New Roman" w:cs="Times New Roman"/>
          <w:sz w:val="16"/>
          <w:szCs w:val="14"/>
          <w:lang w:eastAsia="x-none"/>
        </w:rPr>
      </w:pPr>
      <w:r w:rsidRPr="00335BAA">
        <w:rPr>
          <w:rFonts w:ascii="Times New Roman" w:hAnsi="Times New Roman" w:cs="Times New Roman"/>
          <w:noProof/>
          <w:sz w:val="16"/>
          <w:szCs w:val="14"/>
          <w:lang w:eastAsia="x-none"/>
        </w:rPr>
        <w:drawing>
          <wp:inline distT="0" distB="0" distL="0" distR="0" wp14:anchorId="0B55189A" wp14:editId="4E25AF2E">
            <wp:extent cx="5962650" cy="3076575"/>
            <wp:effectExtent l="0" t="0" r="0" b="0"/>
            <wp:docPr id="5" name="Chart 5" descr="Line chart showing a housing affordability index from January 2007 to October 2023. The index increased from near 120 in 2007 to a peak of roughly 208 in 2013. It declined amid some volatility to about 138 in 2018 and rose to just under 188 in January of 2021. As of October 2023, the index was at 91.4 after falling heavily."/>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CDB3C8" w14:textId="77777777" w:rsidR="00335BAA" w:rsidRPr="00335BAA" w:rsidRDefault="00335BAA" w:rsidP="00335BAA">
      <w:pPr>
        <w:autoSpaceDE w:val="0"/>
        <w:autoSpaceDN w:val="0"/>
        <w:adjustRightInd w:val="0"/>
        <w:rPr>
          <w:bCs/>
          <w:sz w:val="14"/>
          <w:szCs w:val="14"/>
        </w:rPr>
      </w:pPr>
      <w:r w:rsidRPr="00335BAA">
        <w:rPr>
          <w:bCs/>
          <w:sz w:val="14"/>
          <w:szCs w:val="14"/>
        </w:rPr>
        <w:t xml:space="preserve">Sources: Bloomberg, U.S. Census Bureau, and Wells Fargo Investment Institute. Monthly data from January 1, </w:t>
      </w:r>
      <w:proofErr w:type="gramStart"/>
      <w:r w:rsidRPr="00335BAA">
        <w:rPr>
          <w:bCs/>
          <w:sz w:val="14"/>
          <w:szCs w:val="14"/>
        </w:rPr>
        <w:t>2007</w:t>
      </w:r>
      <w:proofErr w:type="gramEnd"/>
      <w:r w:rsidRPr="00335BAA">
        <w:rPr>
          <w:bCs/>
          <w:sz w:val="14"/>
          <w:szCs w:val="14"/>
        </w:rPr>
        <w:t xml:space="preserve"> to November 30, 2023. NAHB/Wells Fargo Housing Market Index: monthly data from January 1, </w:t>
      </w:r>
      <w:proofErr w:type="gramStart"/>
      <w:r w:rsidRPr="00335BAA">
        <w:rPr>
          <w:bCs/>
          <w:sz w:val="14"/>
          <w:szCs w:val="14"/>
        </w:rPr>
        <w:t>2007</w:t>
      </w:r>
      <w:proofErr w:type="gramEnd"/>
      <w:r w:rsidRPr="00335BAA">
        <w:rPr>
          <w:bCs/>
          <w:sz w:val="14"/>
          <w:szCs w:val="14"/>
        </w:rPr>
        <w:t xml:space="preserve"> to December 31, 2023. NAR Housing Affordability Index: monthly data from January 1, </w:t>
      </w:r>
      <w:proofErr w:type="gramStart"/>
      <w:r w:rsidRPr="00335BAA">
        <w:rPr>
          <w:bCs/>
          <w:sz w:val="14"/>
          <w:szCs w:val="14"/>
        </w:rPr>
        <w:t>2007</w:t>
      </w:r>
      <w:proofErr w:type="gramEnd"/>
      <w:r w:rsidRPr="00335BAA">
        <w:rPr>
          <w:bCs/>
          <w:sz w:val="14"/>
          <w:szCs w:val="14"/>
        </w:rPr>
        <w:t xml:space="preserve"> to October 31, 2023. SAAR = seasonally adjusted annual rate. NAHB (National Association of Home Builders)/Wells Fargo Housing Market Index is a widely watched gauge of the outlook for the U.S. housing sector. The NAR (National Association of Realtors</w:t>
      </w:r>
      <w:r w:rsidRPr="00335BAA">
        <w:rPr>
          <w:bCs/>
          <w:sz w:val="14"/>
          <w:szCs w:val="14"/>
          <w:vertAlign w:val="superscript"/>
        </w:rPr>
        <w:t>®</w:t>
      </w:r>
      <w:r w:rsidRPr="00335BAA">
        <w:rPr>
          <w:bCs/>
          <w:sz w:val="14"/>
          <w:szCs w:val="14"/>
        </w:rPr>
        <w:t xml:space="preserve">) Housing Affordability Index measures </w:t>
      </w:r>
      <w:proofErr w:type="gramStart"/>
      <w:r w:rsidRPr="00335BAA">
        <w:rPr>
          <w:bCs/>
          <w:sz w:val="14"/>
          <w:szCs w:val="14"/>
        </w:rPr>
        <w:t>whether or not</w:t>
      </w:r>
      <w:proofErr w:type="gramEnd"/>
      <w:r w:rsidRPr="00335BAA">
        <w:rPr>
          <w:bCs/>
          <w:sz w:val="14"/>
          <w:szCs w:val="14"/>
        </w:rPr>
        <w:t xml:space="preserve"> a typical family could qualify for a mortgage loan on a typical home.</w:t>
      </w:r>
    </w:p>
    <w:p w14:paraId="0FBF7C70" w14:textId="5A6AEAE3" w:rsidR="00335BAA" w:rsidRPr="00F40476" w:rsidRDefault="00335BAA" w:rsidP="009C3292">
      <w:pPr>
        <w:autoSpaceDE w:val="0"/>
        <w:autoSpaceDN w:val="0"/>
        <w:adjustRightInd w:val="0"/>
        <w:jc w:val="center"/>
        <w:rPr>
          <w:b/>
          <w:color w:val="5B9BD5" w:themeColor="accent1"/>
        </w:rPr>
        <w:sectPr w:rsidR="00335BAA" w:rsidRPr="00F40476" w:rsidSect="00862684">
          <w:headerReference w:type="default" r:id="rId18"/>
          <w:headerReference w:type="first" r:id="rId19"/>
          <w:footerReference w:type="first" r:id="rId20"/>
          <w:pgSz w:w="12240" w:h="15840"/>
          <w:pgMar w:top="1440" w:right="1440" w:bottom="1440" w:left="1440" w:header="432" w:footer="432" w:gutter="0"/>
          <w:cols w:space="720"/>
          <w:titlePg/>
          <w:docGrid w:linePitch="360"/>
        </w:sectPr>
      </w:pPr>
    </w:p>
    <w:p w14:paraId="13EA9262" w14:textId="7DCB1693" w:rsidR="005B28AF" w:rsidRDefault="00C10467" w:rsidP="00040EE5">
      <w:pPr>
        <w:rPr>
          <w:b/>
          <w:bCs/>
          <w:color w:val="5B9BD5"/>
        </w:rPr>
      </w:pPr>
      <w:r>
        <w:rPr>
          <w:b/>
          <w:bCs/>
          <w:color w:val="5B9BD5"/>
        </w:rPr>
        <w:lastRenderedPageBreak/>
        <w:t xml:space="preserve">According to the Department of Health, physical activity has the highest correlation with a longer </w:t>
      </w:r>
      <w:proofErr w:type="gramStart"/>
      <w:r>
        <w:rPr>
          <w:b/>
          <w:bCs/>
          <w:color w:val="5B9BD5"/>
        </w:rPr>
        <w:t>life</w:t>
      </w:r>
      <w:proofErr w:type="gramEnd"/>
    </w:p>
    <w:p w14:paraId="28FE7339" w14:textId="7631E534" w:rsidR="004D70CA" w:rsidRDefault="00C10467" w:rsidP="00932DEE">
      <w:pPr>
        <w:jc w:val="center"/>
        <w:rPr>
          <w:color w:val="1F497D"/>
        </w:rPr>
      </w:pPr>
      <w:r>
        <w:rPr>
          <w:noProof/>
          <w:color w:val="1F497D"/>
        </w:rPr>
        <w:drawing>
          <wp:inline distT="0" distB="0" distL="0" distR="0" wp14:anchorId="73330382" wp14:editId="2EFC6E3F">
            <wp:extent cx="4810125" cy="601265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1373" cy="6026716"/>
                    </a:xfrm>
                    <a:prstGeom prst="rect">
                      <a:avLst/>
                    </a:prstGeom>
                  </pic:spPr>
                </pic:pic>
              </a:graphicData>
            </a:graphic>
          </wp:inline>
        </w:drawing>
      </w:r>
    </w:p>
    <w:p w14:paraId="42ADFFA6" w14:textId="77777777" w:rsidR="00245E7F" w:rsidRDefault="00CC3027" w:rsidP="00156DFC">
      <w:pPr>
        <w:rPr>
          <w:b/>
          <w:bCs/>
          <w:color w:val="5B9BD5"/>
          <w:u w:val="single"/>
        </w:rPr>
      </w:pPr>
      <w:r>
        <w:rPr>
          <w:b/>
          <w:bCs/>
          <w:color w:val="5B9BD5"/>
          <w:u w:val="single"/>
        </w:rPr>
        <w:t>Article</w:t>
      </w:r>
      <w:r w:rsidR="008309B4">
        <w:rPr>
          <w:b/>
          <w:bCs/>
          <w:color w:val="5B9BD5"/>
          <w:u w:val="single"/>
        </w:rPr>
        <w:t>s</w:t>
      </w:r>
      <w:r w:rsidR="00016414">
        <w:rPr>
          <w:b/>
          <w:bCs/>
          <w:color w:val="5B9BD5"/>
          <w:u w:val="single"/>
        </w:rPr>
        <w:t xml:space="preserve"> of the month:</w:t>
      </w:r>
    </w:p>
    <w:p w14:paraId="1160CE98" w14:textId="12B4F1D4" w:rsidR="008C3799" w:rsidRDefault="00016414" w:rsidP="00156DFC">
      <w:pPr>
        <w:rPr>
          <w:b/>
          <w:bCs/>
          <w:color w:val="5B9BD5"/>
          <w:u w:val="single"/>
        </w:rPr>
      </w:pPr>
      <w:r>
        <w:rPr>
          <w:b/>
          <w:bCs/>
          <w:color w:val="5B9BD5"/>
          <w:u w:val="single"/>
        </w:rPr>
        <w:t xml:space="preserve"> </w:t>
      </w:r>
    </w:p>
    <w:p w14:paraId="0A165026" w14:textId="4A24703E" w:rsidR="00A11928" w:rsidRDefault="009E4176" w:rsidP="002F2E59">
      <w:pPr>
        <w:rPr>
          <w:b/>
          <w:bCs/>
        </w:rPr>
      </w:pPr>
      <w:r>
        <w:rPr>
          <w:b/>
          <w:bCs/>
        </w:rPr>
        <w:t>Tax law changes: What happens in 2024 and beyond?</w:t>
      </w:r>
    </w:p>
    <w:p w14:paraId="150D882A" w14:textId="792D0D51" w:rsidR="00571DEB" w:rsidRPr="00DA33C2" w:rsidRDefault="00396CBF" w:rsidP="002F2E59">
      <w:hyperlink r:id="rId22" w:history="1">
        <w:r w:rsidR="004A672D" w:rsidRPr="009E4176">
          <w:rPr>
            <w:rStyle w:val="Hyperlink"/>
          </w:rPr>
          <w:t>Click Here to Read</w:t>
        </w:r>
      </w:hyperlink>
    </w:p>
    <w:p w14:paraId="72208D63" w14:textId="7C44D2C1" w:rsidR="00DE1075" w:rsidRDefault="00DE1075" w:rsidP="002F2E59"/>
    <w:p w14:paraId="349EF4E5" w14:textId="5724186B" w:rsidR="00B11F42" w:rsidRDefault="00FF5279" w:rsidP="00B11F42">
      <w:pPr>
        <w:rPr>
          <w:rFonts w:asciiTheme="minorHAnsi" w:hAnsiTheme="minorHAnsi" w:cstheme="minorBidi"/>
          <w:b/>
          <w:bCs/>
        </w:rPr>
      </w:pPr>
      <w:r>
        <w:rPr>
          <w:b/>
          <w:bCs/>
        </w:rPr>
        <w:t xml:space="preserve">So, you want to buy a sports team? Here’s </w:t>
      </w:r>
      <w:proofErr w:type="gramStart"/>
      <w:r>
        <w:rPr>
          <w:b/>
          <w:bCs/>
        </w:rPr>
        <w:t>how</w:t>
      </w:r>
      <w:proofErr w:type="gramEnd"/>
    </w:p>
    <w:p w14:paraId="73CEA38C" w14:textId="6C1A09CA" w:rsidR="009E6376" w:rsidRPr="00D10418" w:rsidRDefault="00396CBF" w:rsidP="002F2E59">
      <w:hyperlink r:id="rId23" w:history="1">
        <w:r w:rsidR="004A672D" w:rsidRPr="00FF5279">
          <w:rPr>
            <w:rStyle w:val="Hyperlink"/>
          </w:rPr>
          <w:t>Click Here to Read</w:t>
        </w:r>
      </w:hyperlink>
    </w:p>
    <w:p w14:paraId="2B23AD1D" w14:textId="32429CBC" w:rsidR="00245E7F" w:rsidRPr="0023111D" w:rsidRDefault="00245E7F" w:rsidP="002F2E59">
      <w:pPr>
        <w:rPr>
          <w:sz w:val="18"/>
          <w:szCs w:val="18"/>
        </w:rPr>
      </w:pPr>
    </w:p>
    <w:p w14:paraId="4DD50777" w14:textId="00E98554" w:rsidR="00280A08" w:rsidRPr="0023111D" w:rsidRDefault="00280A08" w:rsidP="002F2E59">
      <w:pPr>
        <w:rPr>
          <w:rFonts w:ascii="Times New Roman" w:hAnsi="Times New Roman" w:cs="Times New Roman"/>
          <w:sz w:val="10"/>
          <w:szCs w:val="18"/>
        </w:rPr>
      </w:pPr>
      <w:r w:rsidRPr="0023111D">
        <w:rPr>
          <w:sz w:val="16"/>
          <w:szCs w:val="18"/>
          <w:lang w:val="en"/>
        </w:rPr>
        <w:t>The opinions expressed here reflect the judgment of the author as of the date of the report and are subject to change without notice. The material has been prepared or is distributed solely for information purposes.</w:t>
      </w:r>
      <w:r w:rsidR="00834535" w:rsidRPr="0023111D">
        <w:rPr>
          <w:sz w:val="16"/>
          <w:szCs w:val="18"/>
          <w:lang w:val="en"/>
        </w:rPr>
        <w:t xml:space="preserve"> Please note that we are not responsible for the information contained on the listed web site(s). The site(s) is/are provided to you for informational purposes only. </w:t>
      </w:r>
      <w:bookmarkEnd w:id="0"/>
    </w:p>
    <w:sectPr w:rsidR="00280A08" w:rsidRPr="0023111D" w:rsidSect="002521EB">
      <w:headerReference w:type="first" r:id="rId24"/>
      <w:footerReference w:type="first" r:id="rId25"/>
      <w:pgSz w:w="12240" w:h="15840"/>
      <w:pgMar w:top="1440" w:right="1440" w:bottom="1440" w:left="144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E0287" w14:textId="77777777" w:rsidR="00C76187" w:rsidRDefault="00C76187" w:rsidP="00CC380D">
      <w:r>
        <w:separator/>
      </w:r>
    </w:p>
  </w:endnote>
  <w:endnote w:type="continuationSeparator" w:id="0">
    <w:p w14:paraId="008BB041" w14:textId="77777777" w:rsidR="00C76187" w:rsidRDefault="00C76187" w:rsidP="00CC3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ells Fargo Sans">
    <w:panose1 w:val="020B0503020203020204"/>
    <w:charset w:val="00"/>
    <w:family w:val="swiss"/>
    <w:pitch w:val="variable"/>
    <w:sig w:usb0="A000006F" w:usb1="4000004B" w:usb2="00000000" w:usb3="00000000" w:csb0="0000001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27"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27"/>
    </w:tblGrid>
    <w:tr w:rsidR="00155462" w:rsidRPr="00E129AA" w14:paraId="07503306" w14:textId="77777777" w:rsidTr="00913959">
      <w:trPr>
        <w:trHeight w:val="462"/>
      </w:trPr>
      <w:tc>
        <w:tcPr>
          <w:tcW w:w="9827" w:type="dxa"/>
          <w:vAlign w:val="center"/>
        </w:tcPr>
        <w:p w14:paraId="6035B43B" w14:textId="77777777" w:rsidR="00155462" w:rsidRPr="00913959" w:rsidRDefault="00155462" w:rsidP="00155462">
          <w:pPr>
            <w:rPr>
              <w:rFonts w:ascii="Wells Fargo Sans" w:hAnsi="Wells Fargo Sans"/>
              <w:b/>
              <w:szCs w:val="20"/>
            </w:rPr>
          </w:pPr>
          <w:r w:rsidRPr="00913959">
            <w:rPr>
              <w:rFonts w:ascii="Wells Fargo Sans" w:hAnsi="Wells Fargo Sans"/>
              <w:b/>
              <w:szCs w:val="20"/>
            </w:rPr>
            <w:t>Investment and Insurance Products: NOT FDIC Insured / NO Bank Guarantee / MAY Lose Value</w:t>
          </w:r>
        </w:p>
      </w:tc>
    </w:tr>
  </w:tbl>
  <w:p w14:paraId="2AC21CC3" w14:textId="77777777" w:rsidR="00862684" w:rsidRDefault="008626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B676" w14:textId="77777777" w:rsidR="002521EB" w:rsidRDefault="002521EB" w:rsidP="000829E7">
    <w:pPr>
      <w:pStyle w:val="Header"/>
      <w:jc w:val="right"/>
    </w:pPr>
    <w:r>
      <w:t xml:space="preserve">                                                                                      </w:t>
    </w:r>
  </w:p>
  <w:p w14:paraId="7472D469" w14:textId="77777777" w:rsidR="002521EB" w:rsidRPr="003442B5" w:rsidRDefault="002521EB" w:rsidP="00DD2D3A">
    <w:pPr>
      <w:autoSpaceDE w:val="0"/>
      <w:autoSpaceDN w:val="0"/>
      <w:adjustRightInd w:val="0"/>
      <w:jc w:val="both"/>
      <w:rPr>
        <w:rFonts w:ascii="Times New Roman" w:hAnsi="Times New Roman" w:cs="Times New Roman"/>
        <w:sz w:val="16"/>
        <w:szCs w:val="14"/>
        <w:lang w:eastAsia="x-none"/>
      </w:rPr>
    </w:pPr>
    <w:bookmarkStart w:id="1" w:name="_Hlk136406650"/>
    <w:r w:rsidRPr="00935F4D">
      <w:rPr>
        <w:rFonts w:ascii="Times New Roman" w:hAnsi="Times New Roman" w:cs="Times New Roman"/>
        <w:sz w:val="16"/>
        <w:szCs w:val="14"/>
        <w:lang w:eastAsia="x-none"/>
      </w:rPr>
      <w:t xml:space="preserve">Wells Fargo Investment Institute, Inc. is a registered investment adviser and </w:t>
    </w:r>
    <w:proofErr w:type="gramStart"/>
    <w:r w:rsidRPr="00935F4D">
      <w:rPr>
        <w:rFonts w:ascii="Times New Roman" w:hAnsi="Times New Roman" w:cs="Times New Roman"/>
        <w:sz w:val="16"/>
        <w:szCs w:val="14"/>
        <w:lang w:eastAsia="x-none"/>
      </w:rPr>
      <w:t>wholly-owned</w:t>
    </w:r>
    <w:proofErr w:type="gramEnd"/>
    <w:r w:rsidRPr="00935F4D">
      <w:rPr>
        <w:rFonts w:ascii="Times New Roman" w:hAnsi="Times New Roman" w:cs="Times New Roman"/>
        <w:sz w:val="16"/>
        <w:szCs w:val="14"/>
        <w:lang w:eastAsia="x-none"/>
      </w:rPr>
      <w:t xml:space="preserve"> subsidiary of Wells Fargo Bank, N.A., a bank affiliate of Wells Fargo &amp; Company.</w:t>
    </w:r>
  </w:p>
  <w:p w14:paraId="744BB09C" w14:textId="410730BC" w:rsidR="002521EB" w:rsidRPr="004F6B51" w:rsidRDefault="002521EB" w:rsidP="00DD2D3A">
    <w:pPr>
      <w:jc w:val="both"/>
      <w:rPr>
        <w:rFonts w:ascii="Times New Roman" w:hAnsi="Times New Roman" w:cs="Times New Roman"/>
        <w:sz w:val="28"/>
      </w:rPr>
    </w:pPr>
    <w:r w:rsidRPr="004F6B51">
      <w:rPr>
        <w:rFonts w:ascii="Times New Roman" w:hAnsi="Times New Roman" w:cs="Times New Roman"/>
        <w:sz w:val="16"/>
        <w:szCs w:val="14"/>
        <w:lang w:eastAsia="x-none"/>
      </w:rPr>
      <w:t xml:space="preserve">Wells Fargo Advisors is a trade name used by Wells Fargo Clearing Services, LLC, Member SIPC, a registered broker-dealer and non-bank affiliate of Wells Fargo &amp; Company. </w:t>
    </w:r>
    <w:r w:rsidRPr="004F6B51">
      <w:rPr>
        <w:rFonts w:ascii="Times New Roman" w:hAnsi="Times New Roman" w:cs="Times New Roman"/>
        <w:sz w:val="16"/>
        <w:szCs w:val="14"/>
        <w:lang w:val="x-none" w:eastAsia="x-none"/>
      </w:rPr>
      <w:t>©</w:t>
    </w:r>
    <w:r w:rsidRPr="004F6B51">
      <w:rPr>
        <w:rFonts w:ascii="Times New Roman" w:hAnsi="Times New Roman" w:cs="Times New Roman"/>
        <w:sz w:val="16"/>
        <w:szCs w:val="14"/>
        <w:lang w:eastAsia="x-none"/>
      </w:rPr>
      <w:t xml:space="preserve">2019 </w:t>
    </w:r>
    <w:r w:rsidRPr="004F6B51">
      <w:rPr>
        <w:rFonts w:ascii="Times New Roman" w:hAnsi="Times New Roman" w:cs="Times New Roman"/>
        <w:sz w:val="16"/>
        <w:szCs w:val="14"/>
        <w:lang w:val="x-none" w:eastAsia="x-none"/>
      </w:rPr>
      <w:t>Wells Fargo Clearing Services, LLC.</w:t>
    </w:r>
    <w:r w:rsidRPr="004F6B51">
      <w:rPr>
        <w:rFonts w:ascii="Times New Roman" w:hAnsi="Times New Roman" w:cs="Times New Roman"/>
        <w:sz w:val="16"/>
        <w:szCs w:val="14"/>
        <w:lang w:eastAsia="x-none"/>
      </w:rPr>
      <w:t xml:space="preserve"> </w:t>
    </w:r>
    <w:r w:rsidR="001239FF">
      <w:rPr>
        <w:rFonts w:ascii="Times New Roman" w:hAnsi="Times New Roman" w:cs="Times New Roman"/>
        <w:bCs/>
        <w:sz w:val="16"/>
        <w:szCs w:val="14"/>
        <w:lang w:eastAsia="x-none"/>
      </w:rPr>
      <w:t>PM-</w:t>
    </w:r>
    <w:r w:rsidR="0020106F">
      <w:rPr>
        <w:rFonts w:ascii="Times New Roman" w:hAnsi="Times New Roman" w:cs="Times New Roman"/>
        <w:bCs/>
        <w:sz w:val="16"/>
        <w:szCs w:val="14"/>
        <w:lang w:eastAsia="x-none"/>
      </w:rPr>
      <w:t>0</w:t>
    </w:r>
    <w:r w:rsidR="002621BF">
      <w:rPr>
        <w:rFonts w:ascii="Times New Roman" w:hAnsi="Times New Roman" w:cs="Times New Roman"/>
        <w:bCs/>
        <w:sz w:val="16"/>
        <w:szCs w:val="14"/>
        <w:lang w:eastAsia="x-none"/>
      </w:rPr>
      <w:t>6262025</w:t>
    </w:r>
    <w:r w:rsidR="0020106F">
      <w:rPr>
        <w:rFonts w:ascii="Times New Roman" w:hAnsi="Times New Roman" w:cs="Times New Roman"/>
        <w:bCs/>
        <w:sz w:val="16"/>
        <w:szCs w:val="14"/>
        <w:lang w:eastAsia="x-none"/>
      </w:rPr>
      <w:t>-</w:t>
    </w:r>
    <w:r w:rsidR="002621BF">
      <w:rPr>
        <w:rFonts w:ascii="Times New Roman" w:hAnsi="Times New Roman" w:cs="Times New Roman"/>
        <w:bCs/>
        <w:sz w:val="16"/>
        <w:szCs w:val="14"/>
        <w:lang w:eastAsia="x-none"/>
      </w:rPr>
      <w:t>6181957</w:t>
    </w:r>
    <w:r w:rsidR="0020106F">
      <w:rPr>
        <w:rFonts w:ascii="Times New Roman" w:hAnsi="Times New Roman" w:cs="Times New Roman"/>
        <w:bCs/>
        <w:sz w:val="16"/>
        <w:szCs w:val="14"/>
        <w:lang w:eastAsia="x-none"/>
      </w:rPr>
      <w:t>.1.1</w:t>
    </w:r>
  </w:p>
  <w:bookmarkEnd w:id="1"/>
  <w:p w14:paraId="16C3433D" w14:textId="77777777" w:rsidR="002521EB" w:rsidRDefault="00252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22C11" w14:textId="77777777" w:rsidR="00C76187" w:rsidRDefault="00C76187" w:rsidP="00CC380D">
      <w:r>
        <w:separator/>
      </w:r>
    </w:p>
  </w:footnote>
  <w:footnote w:type="continuationSeparator" w:id="0">
    <w:p w14:paraId="272B741D" w14:textId="77777777" w:rsidR="00C76187" w:rsidRDefault="00C76187" w:rsidP="00CC38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17598" w14:textId="73E6D434" w:rsidR="00CC380D" w:rsidRDefault="00AB4B1D" w:rsidP="00AB4B1D">
    <w:pPr>
      <w:pStyle w:val="Header"/>
    </w:pPr>
    <w:r>
      <w:tab/>
    </w:r>
    <w:r>
      <w:tab/>
    </w:r>
    <w:r w:rsidR="00AD7E1F">
      <w:rPr>
        <w:noProof/>
      </w:rPr>
      <w:drawing>
        <wp:inline distT="0" distB="0" distL="0" distR="0" wp14:anchorId="7967D1B6" wp14:editId="1EE53904">
          <wp:extent cx="1676400" cy="671728"/>
          <wp:effectExtent l="0" t="0" r="0" b="0"/>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2922" cy="678348"/>
                  </a:xfrm>
                  <a:prstGeom prst="rect">
                    <a:avLst/>
                  </a:prstGeom>
                </pic:spPr>
              </pic:pic>
            </a:graphicData>
          </a:graphic>
        </wp:inline>
      </w:drawing>
    </w:r>
    <w:r w:rsidR="00CC380D">
      <w:t xml:space="preserve">    </w:t>
    </w:r>
    <w:r w:rsidR="00093A54">
      <w:t xml:space="preserve">                                                                                </w:t>
    </w:r>
    <w:r w:rsidR="00CC380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84F5" w14:textId="176995E0" w:rsidR="000829E7" w:rsidRDefault="00AD7E1F" w:rsidP="00E47D23">
    <w:pPr>
      <w:pStyle w:val="Header"/>
      <w:jc w:val="right"/>
    </w:pPr>
    <w:r>
      <w:rPr>
        <w:noProof/>
      </w:rPr>
      <w:drawing>
        <wp:inline distT="0" distB="0" distL="0" distR="0" wp14:anchorId="6A709BD9" wp14:editId="5A1FF793">
          <wp:extent cx="1676400" cy="671728"/>
          <wp:effectExtent l="0" t="0" r="0" b="0"/>
          <wp:docPr id="7"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2922" cy="678348"/>
                  </a:xfrm>
                  <a:prstGeom prst="rect">
                    <a:avLst/>
                  </a:prstGeom>
                </pic:spPr>
              </pic:pic>
            </a:graphicData>
          </a:graphic>
        </wp:inline>
      </w:drawing>
    </w:r>
    <w:r w:rsidR="00DC139A" w:rsidRPr="00CD27A6">
      <w:rPr>
        <w:noProof/>
      </w:rPr>
      <w:drawing>
        <wp:anchor distT="0" distB="0" distL="114300" distR="114300" simplePos="0" relativeHeight="251659264" behindDoc="0" locked="0" layoutInCell="1" allowOverlap="1" wp14:anchorId="6D5B1E23" wp14:editId="79C46611">
          <wp:simplePos x="0" y="0"/>
          <wp:positionH relativeFrom="margin">
            <wp:posOffset>-47625</wp:posOffset>
          </wp:positionH>
          <wp:positionV relativeFrom="paragraph">
            <wp:posOffset>-76200</wp:posOffset>
          </wp:positionV>
          <wp:extent cx="1514475" cy="807826"/>
          <wp:effectExtent l="0" t="0" r="0" b="0"/>
          <wp:wrapNone/>
          <wp:docPr id="12" name="Picture 15" descr="Text&#10;&#10;Description automatically generated">
            <a:extLst xmlns:a="http://schemas.openxmlformats.org/drawingml/2006/main">
              <a:ext uri="{FF2B5EF4-FFF2-40B4-BE49-F238E27FC236}">
                <a16:creationId xmlns:a16="http://schemas.microsoft.com/office/drawing/2014/main" id="{67340FED-A494-4A58-9A38-9B02FC8C6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Text&#10;&#10;Description automatically generated">
                    <a:extLst>
                      <a:ext uri="{FF2B5EF4-FFF2-40B4-BE49-F238E27FC236}">
                        <a16:creationId xmlns:a16="http://schemas.microsoft.com/office/drawing/2014/main" id="{67340FED-A494-4A58-9A38-9B02FC8C6762}"/>
                      </a:ext>
                    </a:extLst>
                  </pic:cNvPr>
                  <pic:cNvPicPr>
                    <a:picLocks noChangeAspect="1"/>
                  </pic:cNvPicPr>
                </pic:nvPicPr>
                <pic:blipFill>
                  <a:blip r:embed="rId2"/>
                  <a:stretch>
                    <a:fillRect/>
                  </a:stretch>
                </pic:blipFill>
                <pic:spPr>
                  <a:xfrm>
                    <a:off x="0" y="0"/>
                    <a:ext cx="1514475" cy="807826"/>
                  </a:xfrm>
                  <a:prstGeom prst="rect">
                    <a:avLst/>
                  </a:prstGeom>
                </pic:spPr>
              </pic:pic>
            </a:graphicData>
          </a:graphic>
          <wp14:sizeRelH relativeFrom="margin">
            <wp14:pctWidth>0</wp14:pctWidth>
          </wp14:sizeRelH>
          <wp14:sizeRelV relativeFrom="margin">
            <wp14:pctHeight>0</wp14:pctHeight>
          </wp14:sizeRelV>
        </wp:anchor>
      </w:drawing>
    </w:r>
    <w:r w:rsidR="000829E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E0C0" w14:textId="5ACAB141" w:rsidR="00CF63AD" w:rsidRDefault="00CF63AD" w:rsidP="00E47D23">
    <w:pPr>
      <w:pStyle w:val="Header"/>
      <w:jc w:val="right"/>
    </w:pPr>
    <w:r>
      <w:t xml:space="preserve">                                                                                       </w:t>
    </w:r>
    <w:r>
      <w:rPr>
        <w:noProof/>
      </w:rPr>
      <w:drawing>
        <wp:inline distT="0" distB="0" distL="0" distR="0" wp14:anchorId="52C73FF1" wp14:editId="40ECE2EF">
          <wp:extent cx="1770154" cy="70929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ienPW_Logo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4054" cy="7108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99053C"/>
    <w:multiLevelType w:val="hybridMultilevel"/>
    <w:tmpl w:val="EBE41922"/>
    <w:lvl w:ilvl="0" w:tplc="8F760E54">
      <w:start w:val="1"/>
      <w:numFmt w:val="bullet"/>
      <w:lvlText w:val="•"/>
      <w:lvlJc w:val="left"/>
      <w:pPr>
        <w:tabs>
          <w:tab w:val="num" w:pos="720"/>
        </w:tabs>
        <w:ind w:left="720" w:hanging="360"/>
      </w:pPr>
      <w:rPr>
        <w:rFonts w:ascii="Arial" w:hAnsi="Arial" w:hint="default"/>
      </w:rPr>
    </w:lvl>
    <w:lvl w:ilvl="1" w:tplc="24785B42" w:tentative="1">
      <w:start w:val="1"/>
      <w:numFmt w:val="bullet"/>
      <w:lvlText w:val="•"/>
      <w:lvlJc w:val="left"/>
      <w:pPr>
        <w:tabs>
          <w:tab w:val="num" w:pos="1440"/>
        </w:tabs>
        <w:ind w:left="1440" w:hanging="360"/>
      </w:pPr>
      <w:rPr>
        <w:rFonts w:ascii="Arial" w:hAnsi="Arial" w:hint="default"/>
      </w:rPr>
    </w:lvl>
    <w:lvl w:ilvl="2" w:tplc="4C9EA15A" w:tentative="1">
      <w:start w:val="1"/>
      <w:numFmt w:val="bullet"/>
      <w:lvlText w:val="•"/>
      <w:lvlJc w:val="left"/>
      <w:pPr>
        <w:tabs>
          <w:tab w:val="num" w:pos="2160"/>
        </w:tabs>
        <w:ind w:left="2160" w:hanging="360"/>
      </w:pPr>
      <w:rPr>
        <w:rFonts w:ascii="Arial" w:hAnsi="Arial" w:hint="default"/>
      </w:rPr>
    </w:lvl>
    <w:lvl w:ilvl="3" w:tplc="6D1064A0" w:tentative="1">
      <w:start w:val="1"/>
      <w:numFmt w:val="bullet"/>
      <w:lvlText w:val="•"/>
      <w:lvlJc w:val="left"/>
      <w:pPr>
        <w:tabs>
          <w:tab w:val="num" w:pos="2880"/>
        </w:tabs>
        <w:ind w:left="2880" w:hanging="360"/>
      </w:pPr>
      <w:rPr>
        <w:rFonts w:ascii="Arial" w:hAnsi="Arial" w:hint="default"/>
      </w:rPr>
    </w:lvl>
    <w:lvl w:ilvl="4" w:tplc="AD366CB8" w:tentative="1">
      <w:start w:val="1"/>
      <w:numFmt w:val="bullet"/>
      <w:lvlText w:val="•"/>
      <w:lvlJc w:val="left"/>
      <w:pPr>
        <w:tabs>
          <w:tab w:val="num" w:pos="3600"/>
        </w:tabs>
        <w:ind w:left="3600" w:hanging="360"/>
      </w:pPr>
      <w:rPr>
        <w:rFonts w:ascii="Arial" w:hAnsi="Arial" w:hint="default"/>
      </w:rPr>
    </w:lvl>
    <w:lvl w:ilvl="5" w:tplc="28C0AB4E" w:tentative="1">
      <w:start w:val="1"/>
      <w:numFmt w:val="bullet"/>
      <w:lvlText w:val="•"/>
      <w:lvlJc w:val="left"/>
      <w:pPr>
        <w:tabs>
          <w:tab w:val="num" w:pos="4320"/>
        </w:tabs>
        <w:ind w:left="4320" w:hanging="360"/>
      </w:pPr>
      <w:rPr>
        <w:rFonts w:ascii="Arial" w:hAnsi="Arial" w:hint="default"/>
      </w:rPr>
    </w:lvl>
    <w:lvl w:ilvl="6" w:tplc="6478B1B4" w:tentative="1">
      <w:start w:val="1"/>
      <w:numFmt w:val="bullet"/>
      <w:lvlText w:val="•"/>
      <w:lvlJc w:val="left"/>
      <w:pPr>
        <w:tabs>
          <w:tab w:val="num" w:pos="5040"/>
        </w:tabs>
        <w:ind w:left="5040" w:hanging="360"/>
      </w:pPr>
      <w:rPr>
        <w:rFonts w:ascii="Arial" w:hAnsi="Arial" w:hint="default"/>
      </w:rPr>
    </w:lvl>
    <w:lvl w:ilvl="7" w:tplc="D2162E58" w:tentative="1">
      <w:start w:val="1"/>
      <w:numFmt w:val="bullet"/>
      <w:lvlText w:val="•"/>
      <w:lvlJc w:val="left"/>
      <w:pPr>
        <w:tabs>
          <w:tab w:val="num" w:pos="5760"/>
        </w:tabs>
        <w:ind w:left="5760" w:hanging="360"/>
      </w:pPr>
      <w:rPr>
        <w:rFonts w:ascii="Arial" w:hAnsi="Arial" w:hint="default"/>
      </w:rPr>
    </w:lvl>
    <w:lvl w:ilvl="8" w:tplc="4DC63B2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AA30696"/>
    <w:multiLevelType w:val="hybridMultilevel"/>
    <w:tmpl w:val="AF641706"/>
    <w:lvl w:ilvl="0" w:tplc="9378FD14">
      <w:start w:val="1"/>
      <w:numFmt w:val="bullet"/>
      <w:lvlText w:val="•"/>
      <w:lvlJc w:val="left"/>
      <w:pPr>
        <w:tabs>
          <w:tab w:val="num" w:pos="720"/>
        </w:tabs>
        <w:ind w:left="720" w:hanging="360"/>
      </w:pPr>
      <w:rPr>
        <w:rFonts w:ascii="Arial" w:hAnsi="Arial" w:hint="default"/>
      </w:rPr>
    </w:lvl>
    <w:lvl w:ilvl="1" w:tplc="A1D26262" w:tentative="1">
      <w:start w:val="1"/>
      <w:numFmt w:val="bullet"/>
      <w:lvlText w:val="•"/>
      <w:lvlJc w:val="left"/>
      <w:pPr>
        <w:tabs>
          <w:tab w:val="num" w:pos="1440"/>
        </w:tabs>
        <w:ind w:left="1440" w:hanging="360"/>
      </w:pPr>
      <w:rPr>
        <w:rFonts w:ascii="Arial" w:hAnsi="Arial" w:hint="default"/>
      </w:rPr>
    </w:lvl>
    <w:lvl w:ilvl="2" w:tplc="E1CE283C" w:tentative="1">
      <w:start w:val="1"/>
      <w:numFmt w:val="bullet"/>
      <w:lvlText w:val="•"/>
      <w:lvlJc w:val="left"/>
      <w:pPr>
        <w:tabs>
          <w:tab w:val="num" w:pos="2160"/>
        </w:tabs>
        <w:ind w:left="2160" w:hanging="360"/>
      </w:pPr>
      <w:rPr>
        <w:rFonts w:ascii="Arial" w:hAnsi="Arial" w:hint="default"/>
      </w:rPr>
    </w:lvl>
    <w:lvl w:ilvl="3" w:tplc="06925F26" w:tentative="1">
      <w:start w:val="1"/>
      <w:numFmt w:val="bullet"/>
      <w:lvlText w:val="•"/>
      <w:lvlJc w:val="left"/>
      <w:pPr>
        <w:tabs>
          <w:tab w:val="num" w:pos="2880"/>
        </w:tabs>
        <w:ind w:left="2880" w:hanging="360"/>
      </w:pPr>
      <w:rPr>
        <w:rFonts w:ascii="Arial" w:hAnsi="Arial" w:hint="default"/>
      </w:rPr>
    </w:lvl>
    <w:lvl w:ilvl="4" w:tplc="C81207D4" w:tentative="1">
      <w:start w:val="1"/>
      <w:numFmt w:val="bullet"/>
      <w:lvlText w:val="•"/>
      <w:lvlJc w:val="left"/>
      <w:pPr>
        <w:tabs>
          <w:tab w:val="num" w:pos="3600"/>
        </w:tabs>
        <w:ind w:left="3600" w:hanging="360"/>
      </w:pPr>
      <w:rPr>
        <w:rFonts w:ascii="Arial" w:hAnsi="Arial" w:hint="default"/>
      </w:rPr>
    </w:lvl>
    <w:lvl w:ilvl="5" w:tplc="AE92A6C2" w:tentative="1">
      <w:start w:val="1"/>
      <w:numFmt w:val="bullet"/>
      <w:lvlText w:val="•"/>
      <w:lvlJc w:val="left"/>
      <w:pPr>
        <w:tabs>
          <w:tab w:val="num" w:pos="4320"/>
        </w:tabs>
        <w:ind w:left="4320" w:hanging="360"/>
      </w:pPr>
      <w:rPr>
        <w:rFonts w:ascii="Arial" w:hAnsi="Arial" w:hint="default"/>
      </w:rPr>
    </w:lvl>
    <w:lvl w:ilvl="6" w:tplc="F7DA11DA" w:tentative="1">
      <w:start w:val="1"/>
      <w:numFmt w:val="bullet"/>
      <w:lvlText w:val="•"/>
      <w:lvlJc w:val="left"/>
      <w:pPr>
        <w:tabs>
          <w:tab w:val="num" w:pos="5040"/>
        </w:tabs>
        <w:ind w:left="5040" w:hanging="360"/>
      </w:pPr>
      <w:rPr>
        <w:rFonts w:ascii="Arial" w:hAnsi="Arial" w:hint="default"/>
      </w:rPr>
    </w:lvl>
    <w:lvl w:ilvl="7" w:tplc="1F9C2084" w:tentative="1">
      <w:start w:val="1"/>
      <w:numFmt w:val="bullet"/>
      <w:lvlText w:val="•"/>
      <w:lvlJc w:val="left"/>
      <w:pPr>
        <w:tabs>
          <w:tab w:val="num" w:pos="5760"/>
        </w:tabs>
        <w:ind w:left="5760" w:hanging="360"/>
      </w:pPr>
      <w:rPr>
        <w:rFonts w:ascii="Arial" w:hAnsi="Arial" w:hint="default"/>
      </w:rPr>
    </w:lvl>
    <w:lvl w:ilvl="8" w:tplc="C1CAD592" w:tentative="1">
      <w:start w:val="1"/>
      <w:numFmt w:val="bullet"/>
      <w:lvlText w:val="•"/>
      <w:lvlJc w:val="left"/>
      <w:pPr>
        <w:tabs>
          <w:tab w:val="num" w:pos="6480"/>
        </w:tabs>
        <w:ind w:left="6480" w:hanging="360"/>
      </w:pPr>
      <w:rPr>
        <w:rFonts w:ascii="Arial" w:hAnsi="Arial" w:hint="default"/>
      </w:rPr>
    </w:lvl>
  </w:abstractNum>
  <w:num w:numId="1" w16cid:durableId="86780351">
    <w:abstractNumId w:val="1"/>
  </w:num>
  <w:num w:numId="2" w16cid:durableId="1648782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396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FB0"/>
    <w:rsid w:val="000039CF"/>
    <w:rsid w:val="00003B85"/>
    <w:rsid w:val="0000448D"/>
    <w:rsid w:val="00004997"/>
    <w:rsid w:val="00005622"/>
    <w:rsid w:val="00007770"/>
    <w:rsid w:val="00012CA5"/>
    <w:rsid w:val="000157FF"/>
    <w:rsid w:val="00016414"/>
    <w:rsid w:val="000215D7"/>
    <w:rsid w:val="000234B5"/>
    <w:rsid w:val="00024DEC"/>
    <w:rsid w:val="0002564D"/>
    <w:rsid w:val="00026A59"/>
    <w:rsid w:val="00027399"/>
    <w:rsid w:val="00027693"/>
    <w:rsid w:val="0003052B"/>
    <w:rsid w:val="000309D0"/>
    <w:rsid w:val="00030CD2"/>
    <w:rsid w:val="0003101F"/>
    <w:rsid w:val="00035B7C"/>
    <w:rsid w:val="000404DF"/>
    <w:rsid w:val="00040EE5"/>
    <w:rsid w:val="0004405F"/>
    <w:rsid w:val="00047E65"/>
    <w:rsid w:val="000514CF"/>
    <w:rsid w:val="00057BEC"/>
    <w:rsid w:val="00057D33"/>
    <w:rsid w:val="00061A71"/>
    <w:rsid w:val="000670B5"/>
    <w:rsid w:val="000706AF"/>
    <w:rsid w:val="0007170F"/>
    <w:rsid w:val="00077E68"/>
    <w:rsid w:val="0008210D"/>
    <w:rsid w:val="000829E7"/>
    <w:rsid w:val="00082BCC"/>
    <w:rsid w:val="0009067A"/>
    <w:rsid w:val="000930FD"/>
    <w:rsid w:val="00093A54"/>
    <w:rsid w:val="0009606E"/>
    <w:rsid w:val="000A0ACD"/>
    <w:rsid w:val="000A4ADC"/>
    <w:rsid w:val="000A5DB1"/>
    <w:rsid w:val="000A75BE"/>
    <w:rsid w:val="000B1427"/>
    <w:rsid w:val="000B3499"/>
    <w:rsid w:val="000C08A9"/>
    <w:rsid w:val="000C1339"/>
    <w:rsid w:val="000C18A0"/>
    <w:rsid w:val="000D09FB"/>
    <w:rsid w:val="000D6FBA"/>
    <w:rsid w:val="000E2366"/>
    <w:rsid w:val="000E3103"/>
    <w:rsid w:val="000E6C21"/>
    <w:rsid w:val="000F2EF6"/>
    <w:rsid w:val="000F4E84"/>
    <w:rsid w:val="000F551E"/>
    <w:rsid w:val="000F5F18"/>
    <w:rsid w:val="000F6C21"/>
    <w:rsid w:val="000F75F6"/>
    <w:rsid w:val="000F7804"/>
    <w:rsid w:val="001002FD"/>
    <w:rsid w:val="00100C05"/>
    <w:rsid w:val="00102033"/>
    <w:rsid w:val="00107A95"/>
    <w:rsid w:val="00110758"/>
    <w:rsid w:val="00111A95"/>
    <w:rsid w:val="00111BE2"/>
    <w:rsid w:val="00111D32"/>
    <w:rsid w:val="00112ED2"/>
    <w:rsid w:val="001143D1"/>
    <w:rsid w:val="00117D8E"/>
    <w:rsid w:val="00120253"/>
    <w:rsid w:val="0012196B"/>
    <w:rsid w:val="00122FD7"/>
    <w:rsid w:val="001239FF"/>
    <w:rsid w:val="00126572"/>
    <w:rsid w:val="00126990"/>
    <w:rsid w:val="001323F6"/>
    <w:rsid w:val="00135AE3"/>
    <w:rsid w:val="001373A6"/>
    <w:rsid w:val="001378A2"/>
    <w:rsid w:val="00141AE7"/>
    <w:rsid w:val="00142208"/>
    <w:rsid w:val="00147C3E"/>
    <w:rsid w:val="00150609"/>
    <w:rsid w:val="00150708"/>
    <w:rsid w:val="00150C80"/>
    <w:rsid w:val="00153522"/>
    <w:rsid w:val="001538B1"/>
    <w:rsid w:val="00155462"/>
    <w:rsid w:val="001561C0"/>
    <w:rsid w:val="00156DFC"/>
    <w:rsid w:val="001613D3"/>
    <w:rsid w:val="00163ABF"/>
    <w:rsid w:val="00163F3C"/>
    <w:rsid w:val="00174AFE"/>
    <w:rsid w:val="00176391"/>
    <w:rsid w:val="00182103"/>
    <w:rsid w:val="00184002"/>
    <w:rsid w:val="001844E8"/>
    <w:rsid w:val="001902E8"/>
    <w:rsid w:val="00190FD6"/>
    <w:rsid w:val="00191961"/>
    <w:rsid w:val="001933A8"/>
    <w:rsid w:val="00194794"/>
    <w:rsid w:val="00194A62"/>
    <w:rsid w:val="001951C3"/>
    <w:rsid w:val="00196A65"/>
    <w:rsid w:val="00196C4B"/>
    <w:rsid w:val="001A6D16"/>
    <w:rsid w:val="001B32DA"/>
    <w:rsid w:val="001B7B91"/>
    <w:rsid w:val="001C06C2"/>
    <w:rsid w:val="001C6789"/>
    <w:rsid w:val="001C784F"/>
    <w:rsid w:val="001D1C26"/>
    <w:rsid w:val="001D61D8"/>
    <w:rsid w:val="001D6949"/>
    <w:rsid w:val="001D7416"/>
    <w:rsid w:val="001E142E"/>
    <w:rsid w:val="001E5CD4"/>
    <w:rsid w:val="002006DA"/>
    <w:rsid w:val="0020106F"/>
    <w:rsid w:val="00203549"/>
    <w:rsid w:val="002059AE"/>
    <w:rsid w:val="00207890"/>
    <w:rsid w:val="00214739"/>
    <w:rsid w:val="00217254"/>
    <w:rsid w:val="002178F8"/>
    <w:rsid w:val="00222CAA"/>
    <w:rsid w:val="0022671E"/>
    <w:rsid w:val="0023111D"/>
    <w:rsid w:val="0023171A"/>
    <w:rsid w:val="00235F74"/>
    <w:rsid w:val="00245E7F"/>
    <w:rsid w:val="00251315"/>
    <w:rsid w:val="002521EB"/>
    <w:rsid w:val="00254EC5"/>
    <w:rsid w:val="002565EE"/>
    <w:rsid w:val="002570AE"/>
    <w:rsid w:val="002621BF"/>
    <w:rsid w:val="002627C2"/>
    <w:rsid w:val="00264F3A"/>
    <w:rsid w:val="00267BCB"/>
    <w:rsid w:val="002717C5"/>
    <w:rsid w:val="00275D83"/>
    <w:rsid w:val="0027799B"/>
    <w:rsid w:val="00280A08"/>
    <w:rsid w:val="00281FD9"/>
    <w:rsid w:val="002A003E"/>
    <w:rsid w:val="002B2449"/>
    <w:rsid w:val="002B2BBC"/>
    <w:rsid w:val="002B5168"/>
    <w:rsid w:val="002B520F"/>
    <w:rsid w:val="002B5D5B"/>
    <w:rsid w:val="002B6A8D"/>
    <w:rsid w:val="002B6ACA"/>
    <w:rsid w:val="002C399F"/>
    <w:rsid w:val="002C512C"/>
    <w:rsid w:val="002C6B56"/>
    <w:rsid w:val="002D58F8"/>
    <w:rsid w:val="002D704F"/>
    <w:rsid w:val="002D7C81"/>
    <w:rsid w:val="002E0709"/>
    <w:rsid w:val="002E115C"/>
    <w:rsid w:val="002F0C04"/>
    <w:rsid w:val="002F2704"/>
    <w:rsid w:val="002F2C3C"/>
    <w:rsid w:val="002F2E59"/>
    <w:rsid w:val="002F2FEC"/>
    <w:rsid w:val="002F5EBD"/>
    <w:rsid w:val="002F6F7C"/>
    <w:rsid w:val="00300A9C"/>
    <w:rsid w:val="003014C9"/>
    <w:rsid w:val="0030219A"/>
    <w:rsid w:val="003066E3"/>
    <w:rsid w:val="00307E6B"/>
    <w:rsid w:val="00317B17"/>
    <w:rsid w:val="00320974"/>
    <w:rsid w:val="00320F65"/>
    <w:rsid w:val="00326D75"/>
    <w:rsid w:val="003352F0"/>
    <w:rsid w:val="00335BAA"/>
    <w:rsid w:val="003402FA"/>
    <w:rsid w:val="00340CE2"/>
    <w:rsid w:val="00342648"/>
    <w:rsid w:val="003442B5"/>
    <w:rsid w:val="00344900"/>
    <w:rsid w:val="00352773"/>
    <w:rsid w:val="0035303A"/>
    <w:rsid w:val="00362FC0"/>
    <w:rsid w:val="00363188"/>
    <w:rsid w:val="003638DD"/>
    <w:rsid w:val="003718C2"/>
    <w:rsid w:val="0037299C"/>
    <w:rsid w:val="00375C73"/>
    <w:rsid w:val="003765AD"/>
    <w:rsid w:val="003803B5"/>
    <w:rsid w:val="003818D4"/>
    <w:rsid w:val="00390887"/>
    <w:rsid w:val="00394975"/>
    <w:rsid w:val="00394B1F"/>
    <w:rsid w:val="00395E91"/>
    <w:rsid w:val="00396CBF"/>
    <w:rsid w:val="00397ACD"/>
    <w:rsid w:val="003A0519"/>
    <w:rsid w:val="003A2118"/>
    <w:rsid w:val="003A6149"/>
    <w:rsid w:val="003A6D43"/>
    <w:rsid w:val="003B6608"/>
    <w:rsid w:val="003B6EFC"/>
    <w:rsid w:val="003B726B"/>
    <w:rsid w:val="003D3648"/>
    <w:rsid w:val="003D48B8"/>
    <w:rsid w:val="003D5845"/>
    <w:rsid w:val="003D6C74"/>
    <w:rsid w:val="003E347A"/>
    <w:rsid w:val="003E6610"/>
    <w:rsid w:val="003F0423"/>
    <w:rsid w:val="003F3DF1"/>
    <w:rsid w:val="00410017"/>
    <w:rsid w:val="00411779"/>
    <w:rsid w:val="0041451C"/>
    <w:rsid w:val="00420E4B"/>
    <w:rsid w:val="0043039A"/>
    <w:rsid w:val="0043196B"/>
    <w:rsid w:val="00431FF6"/>
    <w:rsid w:val="00435168"/>
    <w:rsid w:val="004354FA"/>
    <w:rsid w:val="00437BF8"/>
    <w:rsid w:val="004453AB"/>
    <w:rsid w:val="0044551B"/>
    <w:rsid w:val="004464B0"/>
    <w:rsid w:val="00446823"/>
    <w:rsid w:val="004471AA"/>
    <w:rsid w:val="00451378"/>
    <w:rsid w:val="0045253B"/>
    <w:rsid w:val="00453387"/>
    <w:rsid w:val="004546D8"/>
    <w:rsid w:val="0045559F"/>
    <w:rsid w:val="004578FA"/>
    <w:rsid w:val="00467070"/>
    <w:rsid w:val="00471245"/>
    <w:rsid w:val="004740C5"/>
    <w:rsid w:val="004830AE"/>
    <w:rsid w:val="00486A63"/>
    <w:rsid w:val="00487FBF"/>
    <w:rsid w:val="004A1520"/>
    <w:rsid w:val="004A24DD"/>
    <w:rsid w:val="004A50EE"/>
    <w:rsid w:val="004A59CF"/>
    <w:rsid w:val="004A5BD5"/>
    <w:rsid w:val="004A672D"/>
    <w:rsid w:val="004B02A2"/>
    <w:rsid w:val="004B0FD3"/>
    <w:rsid w:val="004B6DAD"/>
    <w:rsid w:val="004C451F"/>
    <w:rsid w:val="004C5499"/>
    <w:rsid w:val="004C5502"/>
    <w:rsid w:val="004C6B16"/>
    <w:rsid w:val="004C7EE4"/>
    <w:rsid w:val="004D0729"/>
    <w:rsid w:val="004D3298"/>
    <w:rsid w:val="004D5E9C"/>
    <w:rsid w:val="004D70CA"/>
    <w:rsid w:val="004E21D5"/>
    <w:rsid w:val="004E2A9A"/>
    <w:rsid w:val="004E2F99"/>
    <w:rsid w:val="004E3E0A"/>
    <w:rsid w:val="004E47B2"/>
    <w:rsid w:val="004E613D"/>
    <w:rsid w:val="004E7923"/>
    <w:rsid w:val="004F15B0"/>
    <w:rsid w:val="004F1B23"/>
    <w:rsid w:val="004F6B51"/>
    <w:rsid w:val="004F7327"/>
    <w:rsid w:val="004F7767"/>
    <w:rsid w:val="00507E38"/>
    <w:rsid w:val="00511544"/>
    <w:rsid w:val="00524D59"/>
    <w:rsid w:val="00524D6E"/>
    <w:rsid w:val="005323B7"/>
    <w:rsid w:val="00534756"/>
    <w:rsid w:val="00534947"/>
    <w:rsid w:val="00534BBA"/>
    <w:rsid w:val="005415FB"/>
    <w:rsid w:val="0054227B"/>
    <w:rsid w:val="00543E13"/>
    <w:rsid w:val="0054530F"/>
    <w:rsid w:val="00550834"/>
    <w:rsid w:val="00550F97"/>
    <w:rsid w:val="0056180C"/>
    <w:rsid w:val="00563D66"/>
    <w:rsid w:val="00564F93"/>
    <w:rsid w:val="00571DEB"/>
    <w:rsid w:val="0057220C"/>
    <w:rsid w:val="00574855"/>
    <w:rsid w:val="005755D2"/>
    <w:rsid w:val="0057664E"/>
    <w:rsid w:val="00590B70"/>
    <w:rsid w:val="00592E32"/>
    <w:rsid w:val="005934EC"/>
    <w:rsid w:val="005946FD"/>
    <w:rsid w:val="005A2064"/>
    <w:rsid w:val="005A33DD"/>
    <w:rsid w:val="005A4BE6"/>
    <w:rsid w:val="005A6EDC"/>
    <w:rsid w:val="005B181F"/>
    <w:rsid w:val="005B28AF"/>
    <w:rsid w:val="005B7F2C"/>
    <w:rsid w:val="005C082D"/>
    <w:rsid w:val="005C24A2"/>
    <w:rsid w:val="005C3104"/>
    <w:rsid w:val="005C3215"/>
    <w:rsid w:val="005D06FA"/>
    <w:rsid w:val="005D757E"/>
    <w:rsid w:val="005E3951"/>
    <w:rsid w:val="005F1FCE"/>
    <w:rsid w:val="005F4CBC"/>
    <w:rsid w:val="005F4CEB"/>
    <w:rsid w:val="005F595C"/>
    <w:rsid w:val="005F7F23"/>
    <w:rsid w:val="0060212E"/>
    <w:rsid w:val="00604D84"/>
    <w:rsid w:val="006116F4"/>
    <w:rsid w:val="00613D79"/>
    <w:rsid w:val="00614945"/>
    <w:rsid w:val="00616295"/>
    <w:rsid w:val="00624828"/>
    <w:rsid w:val="00627AEF"/>
    <w:rsid w:val="006313B7"/>
    <w:rsid w:val="006316EC"/>
    <w:rsid w:val="006356B9"/>
    <w:rsid w:val="00635CD6"/>
    <w:rsid w:val="00636560"/>
    <w:rsid w:val="00636EBA"/>
    <w:rsid w:val="00642172"/>
    <w:rsid w:val="00654235"/>
    <w:rsid w:val="006622DB"/>
    <w:rsid w:val="006631E0"/>
    <w:rsid w:val="0066413A"/>
    <w:rsid w:val="00664613"/>
    <w:rsid w:val="00666788"/>
    <w:rsid w:val="00670412"/>
    <w:rsid w:val="0067151B"/>
    <w:rsid w:val="006762C4"/>
    <w:rsid w:val="00676B53"/>
    <w:rsid w:val="00681C5E"/>
    <w:rsid w:val="00682119"/>
    <w:rsid w:val="006822A8"/>
    <w:rsid w:val="006830F1"/>
    <w:rsid w:val="00684EFC"/>
    <w:rsid w:val="00684F4A"/>
    <w:rsid w:val="00695F62"/>
    <w:rsid w:val="00696039"/>
    <w:rsid w:val="00697754"/>
    <w:rsid w:val="006A202F"/>
    <w:rsid w:val="006B00DC"/>
    <w:rsid w:val="006B196D"/>
    <w:rsid w:val="006B7EB2"/>
    <w:rsid w:val="006C149E"/>
    <w:rsid w:val="006C1680"/>
    <w:rsid w:val="006C2280"/>
    <w:rsid w:val="006D21FA"/>
    <w:rsid w:val="006D6751"/>
    <w:rsid w:val="006D7556"/>
    <w:rsid w:val="006E350C"/>
    <w:rsid w:val="006E3FE8"/>
    <w:rsid w:val="006F66E7"/>
    <w:rsid w:val="006F71DE"/>
    <w:rsid w:val="007020E3"/>
    <w:rsid w:val="00707BAC"/>
    <w:rsid w:val="00720F36"/>
    <w:rsid w:val="007212EB"/>
    <w:rsid w:val="00724529"/>
    <w:rsid w:val="007315AB"/>
    <w:rsid w:val="007322E9"/>
    <w:rsid w:val="00732DD8"/>
    <w:rsid w:val="00740D12"/>
    <w:rsid w:val="007419A4"/>
    <w:rsid w:val="0074245F"/>
    <w:rsid w:val="007514D1"/>
    <w:rsid w:val="007649A6"/>
    <w:rsid w:val="007712EB"/>
    <w:rsid w:val="0077193B"/>
    <w:rsid w:val="00773EEB"/>
    <w:rsid w:val="007751B6"/>
    <w:rsid w:val="007811C7"/>
    <w:rsid w:val="00784FB0"/>
    <w:rsid w:val="0078773F"/>
    <w:rsid w:val="0079018B"/>
    <w:rsid w:val="00791822"/>
    <w:rsid w:val="00791BAE"/>
    <w:rsid w:val="00792D0D"/>
    <w:rsid w:val="0079388D"/>
    <w:rsid w:val="00795706"/>
    <w:rsid w:val="00796292"/>
    <w:rsid w:val="007A1F43"/>
    <w:rsid w:val="007A27CD"/>
    <w:rsid w:val="007B613D"/>
    <w:rsid w:val="007B7B38"/>
    <w:rsid w:val="007B7F53"/>
    <w:rsid w:val="007C01C6"/>
    <w:rsid w:val="007C14A0"/>
    <w:rsid w:val="007C236C"/>
    <w:rsid w:val="007C37BD"/>
    <w:rsid w:val="007C5E5C"/>
    <w:rsid w:val="007C6F3F"/>
    <w:rsid w:val="007D0ADF"/>
    <w:rsid w:val="007D224B"/>
    <w:rsid w:val="007D7B84"/>
    <w:rsid w:val="007F37CF"/>
    <w:rsid w:val="007F68C3"/>
    <w:rsid w:val="007F710C"/>
    <w:rsid w:val="0080377C"/>
    <w:rsid w:val="00804BA1"/>
    <w:rsid w:val="00804BB5"/>
    <w:rsid w:val="00806D54"/>
    <w:rsid w:val="008073B1"/>
    <w:rsid w:val="008122E8"/>
    <w:rsid w:val="0082046E"/>
    <w:rsid w:val="00822DC3"/>
    <w:rsid w:val="00827D65"/>
    <w:rsid w:val="008309B4"/>
    <w:rsid w:val="00831738"/>
    <w:rsid w:val="00834535"/>
    <w:rsid w:val="008376EF"/>
    <w:rsid w:val="00845D78"/>
    <w:rsid w:val="00847642"/>
    <w:rsid w:val="00850926"/>
    <w:rsid w:val="00853337"/>
    <w:rsid w:val="0085391A"/>
    <w:rsid w:val="00853B28"/>
    <w:rsid w:val="00855298"/>
    <w:rsid w:val="00855FCA"/>
    <w:rsid w:val="008571FE"/>
    <w:rsid w:val="00862684"/>
    <w:rsid w:val="00862FF7"/>
    <w:rsid w:val="0086662B"/>
    <w:rsid w:val="00874D85"/>
    <w:rsid w:val="00886A7A"/>
    <w:rsid w:val="00892C6B"/>
    <w:rsid w:val="00896438"/>
    <w:rsid w:val="008A2D04"/>
    <w:rsid w:val="008A4044"/>
    <w:rsid w:val="008B33E3"/>
    <w:rsid w:val="008B3536"/>
    <w:rsid w:val="008B6154"/>
    <w:rsid w:val="008B6B85"/>
    <w:rsid w:val="008C27BE"/>
    <w:rsid w:val="008C3799"/>
    <w:rsid w:val="008C6326"/>
    <w:rsid w:val="008C68AE"/>
    <w:rsid w:val="008D27A2"/>
    <w:rsid w:val="008D36AE"/>
    <w:rsid w:val="008D5DE3"/>
    <w:rsid w:val="008E2F8B"/>
    <w:rsid w:val="008E34D2"/>
    <w:rsid w:val="008E7A24"/>
    <w:rsid w:val="008F09F5"/>
    <w:rsid w:val="008F305D"/>
    <w:rsid w:val="008F41D1"/>
    <w:rsid w:val="008F5E8E"/>
    <w:rsid w:val="009131C3"/>
    <w:rsid w:val="00913959"/>
    <w:rsid w:val="00914F74"/>
    <w:rsid w:val="009206C2"/>
    <w:rsid w:val="009229BD"/>
    <w:rsid w:val="00924922"/>
    <w:rsid w:val="00930F11"/>
    <w:rsid w:val="00932DEE"/>
    <w:rsid w:val="00933778"/>
    <w:rsid w:val="00935F4D"/>
    <w:rsid w:val="00936F63"/>
    <w:rsid w:val="009413EF"/>
    <w:rsid w:val="0094748F"/>
    <w:rsid w:val="00952E3C"/>
    <w:rsid w:val="00970B72"/>
    <w:rsid w:val="00970DF6"/>
    <w:rsid w:val="00971206"/>
    <w:rsid w:val="00971F0B"/>
    <w:rsid w:val="00972C09"/>
    <w:rsid w:val="009763FB"/>
    <w:rsid w:val="00977B42"/>
    <w:rsid w:val="00977DBE"/>
    <w:rsid w:val="00986D46"/>
    <w:rsid w:val="00987833"/>
    <w:rsid w:val="00991485"/>
    <w:rsid w:val="0099203B"/>
    <w:rsid w:val="00992297"/>
    <w:rsid w:val="00993F56"/>
    <w:rsid w:val="0099596E"/>
    <w:rsid w:val="009A20E4"/>
    <w:rsid w:val="009A3346"/>
    <w:rsid w:val="009A422E"/>
    <w:rsid w:val="009A4A04"/>
    <w:rsid w:val="009A6F69"/>
    <w:rsid w:val="009B7E15"/>
    <w:rsid w:val="009C0E79"/>
    <w:rsid w:val="009C1994"/>
    <w:rsid w:val="009C3106"/>
    <w:rsid w:val="009C3292"/>
    <w:rsid w:val="009C410C"/>
    <w:rsid w:val="009C4A43"/>
    <w:rsid w:val="009C7867"/>
    <w:rsid w:val="009C7C1E"/>
    <w:rsid w:val="009D1515"/>
    <w:rsid w:val="009D19A1"/>
    <w:rsid w:val="009D35C3"/>
    <w:rsid w:val="009E0B56"/>
    <w:rsid w:val="009E3AA0"/>
    <w:rsid w:val="009E4176"/>
    <w:rsid w:val="009E48A2"/>
    <w:rsid w:val="009E6376"/>
    <w:rsid w:val="009E6A8E"/>
    <w:rsid w:val="009F3621"/>
    <w:rsid w:val="009F59EF"/>
    <w:rsid w:val="009F6A32"/>
    <w:rsid w:val="00A03C73"/>
    <w:rsid w:val="00A055A9"/>
    <w:rsid w:val="00A069E5"/>
    <w:rsid w:val="00A11928"/>
    <w:rsid w:val="00A13936"/>
    <w:rsid w:val="00A15416"/>
    <w:rsid w:val="00A254B1"/>
    <w:rsid w:val="00A277B9"/>
    <w:rsid w:val="00A27DBB"/>
    <w:rsid w:val="00A343F2"/>
    <w:rsid w:val="00A357C8"/>
    <w:rsid w:val="00A450F3"/>
    <w:rsid w:val="00A47853"/>
    <w:rsid w:val="00A478A8"/>
    <w:rsid w:val="00A55527"/>
    <w:rsid w:val="00A71F72"/>
    <w:rsid w:val="00A769BD"/>
    <w:rsid w:val="00A77A15"/>
    <w:rsid w:val="00A82B45"/>
    <w:rsid w:val="00A85D60"/>
    <w:rsid w:val="00A9156A"/>
    <w:rsid w:val="00A915A4"/>
    <w:rsid w:val="00A91A06"/>
    <w:rsid w:val="00A94749"/>
    <w:rsid w:val="00A94B31"/>
    <w:rsid w:val="00A96984"/>
    <w:rsid w:val="00A97A39"/>
    <w:rsid w:val="00AA4652"/>
    <w:rsid w:val="00AB3181"/>
    <w:rsid w:val="00AB4B1D"/>
    <w:rsid w:val="00AB68E8"/>
    <w:rsid w:val="00AC1AD4"/>
    <w:rsid w:val="00AC4B3F"/>
    <w:rsid w:val="00AD2765"/>
    <w:rsid w:val="00AD7E1F"/>
    <w:rsid w:val="00AE1585"/>
    <w:rsid w:val="00AE2AF8"/>
    <w:rsid w:val="00AE3F88"/>
    <w:rsid w:val="00AF2BD6"/>
    <w:rsid w:val="00AF2E95"/>
    <w:rsid w:val="00AF7723"/>
    <w:rsid w:val="00B00685"/>
    <w:rsid w:val="00B01C8D"/>
    <w:rsid w:val="00B01EED"/>
    <w:rsid w:val="00B02E48"/>
    <w:rsid w:val="00B04FBF"/>
    <w:rsid w:val="00B079D4"/>
    <w:rsid w:val="00B10BC9"/>
    <w:rsid w:val="00B1107C"/>
    <w:rsid w:val="00B11F42"/>
    <w:rsid w:val="00B34384"/>
    <w:rsid w:val="00B3738D"/>
    <w:rsid w:val="00B4333F"/>
    <w:rsid w:val="00B435DA"/>
    <w:rsid w:val="00B43FDB"/>
    <w:rsid w:val="00B46243"/>
    <w:rsid w:val="00B50DAA"/>
    <w:rsid w:val="00B5189E"/>
    <w:rsid w:val="00B52D95"/>
    <w:rsid w:val="00B66A75"/>
    <w:rsid w:val="00B66AAD"/>
    <w:rsid w:val="00B71064"/>
    <w:rsid w:val="00B7284D"/>
    <w:rsid w:val="00B75954"/>
    <w:rsid w:val="00B75B6C"/>
    <w:rsid w:val="00B7658C"/>
    <w:rsid w:val="00B7738A"/>
    <w:rsid w:val="00B84F20"/>
    <w:rsid w:val="00B872FC"/>
    <w:rsid w:val="00B94049"/>
    <w:rsid w:val="00B95C4C"/>
    <w:rsid w:val="00B978A4"/>
    <w:rsid w:val="00B97AFD"/>
    <w:rsid w:val="00BA0551"/>
    <w:rsid w:val="00BA38E1"/>
    <w:rsid w:val="00BA5BF5"/>
    <w:rsid w:val="00BA712E"/>
    <w:rsid w:val="00BB4BCF"/>
    <w:rsid w:val="00BC3662"/>
    <w:rsid w:val="00BD1A02"/>
    <w:rsid w:val="00BD306D"/>
    <w:rsid w:val="00BD5809"/>
    <w:rsid w:val="00BE01AD"/>
    <w:rsid w:val="00BE3792"/>
    <w:rsid w:val="00BF296D"/>
    <w:rsid w:val="00BF2A0B"/>
    <w:rsid w:val="00BF36D9"/>
    <w:rsid w:val="00BF722F"/>
    <w:rsid w:val="00C040A8"/>
    <w:rsid w:val="00C05523"/>
    <w:rsid w:val="00C067BB"/>
    <w:rsid w:val="00C07752"/>
    <w:rsid w:val="00C10467"/>
    <w:rsid w:val="00C131B0"/>
    <w:rsid w:val="00C1530D"/>
    <w:rsid w:val="00C164AB"/>
    <w:rsid w:val="00C44982"/>
    <w:rsid w:val="00C5037A"/>
    <w:rsid w:val="00C5111E"/>
    <w:rsid w:val="00C55474"/>
    <w:rsid w:val="00C5689B"/>
    <w:rsid w:val="00C57630"/>
    <w:rsid w:val="00C63060"/>
    <w:rsid w:val="00C63914"/>
    <w:rsid w:val="00C716DC"/>
    <w:rsid w:val="00C717F7"/>
    <w:rsid w:val="00C76187"/>
    <w:rsid w:val="00C76B4E"/>
    <w:rsid w:val="00C800CC"/>
    <w:rsid w:val="00C805EE"/>
    <w:rsid w:val="00C80F84"/>
    <w:rsid w:val="00C812E1"/>
    <w:rsid w:val="00C81DAE"/>
    <w:rsid w:val="00C837D7"/>
    <w:rsid w:val="00C85B75"/>
    <w:rsid w:val="00CB3749"/>
    <w:rsid w:val="00CB39CA"/>
    <w:rsid w:val="00CB3DCF"/>
    <w:rsid w:val="00CB4777"/>
    <w:rsid w:val="00CB5E14"/>
    <w:rsid w:val="00CB6465"/>
    <w:rsid w:val="00CB7C86"/>
    <w:rsid w:val="00CC035E"/>
    <w:rsid w:val="00CC0BD5"/>
    <w:rsid w:val="00CC3027"/>
    <w:rsid w:val="00CC380D"/>
    <w:rsid w:val="00CC4958"/>
    <w:rsid w:val="00CC4D16"/>
    <w:rsid w:val="00CC4DF1"/>
    <w:rsid w:val="00CC7EAE"/>
    <w:rsid w:val="00CC7ED8"/>
    <w:rsid w:val="00CD0862"/>
    <w:rsid w:val="00CD16A4"/>
    <w:rsid w:val="00CD1C8E"/>
    <w:rsid w:val="00CE00A4"/>
    <w:rsid w:val="00CE0CA4"/>
    <w:rsid w:val="00CE41F8"/>
    <w:rsid w:val="00CE68F7"/>
    <w:rsid w:val="00CE70EA"/>
    <w:rsid w:val="00CF022E"/>
    <w:rsid w:val="00CF0D68"/>
    <w:rsid w:val="00CF2ED0"/>
    <w:rsid w:val="00CF63AD"/>
    <w:rsid w:val="00D0101C"/>
    <w:rsid w:val="00D06EA8"/>
    <w:rsid w:val="00D074A6"/>
    <w:rsid w:val="00D10418"/>
    <w:rsid w:val="00D157F2"/>
    <w:rsid w:val="00D16247"/>
    <w:rsid w:val="00D20DDE"/>
    <w:rsid w:val="00D21480"/>
    <w:rsid w:val="00D215C4"/>
    <w:rsid w:val="00D22043"/>
    <w:rsid w:val="00D312F4"/>
    <w:rsid w:val="00D3159D"/>
    <w:rsid w:val="00D44D06"/>
    <w:rsid w:val="00D46C6F"/>
    <w:rsid w:val="00D46DDA"/>
    <w:rsid w:val="00D46F94"/>
    <w:rsid w:val="00D47B0F"/>
    <w:rsid w:val="00D5023E"/>
    <w:rsid w:val="00D508D5"/>
    <w:rsid w:val="00D515F2"/>
    <w:rsid w:val="00D541C0"/>
    <w:rsid w:val="00D5484C"/>
    <w:rsid w:val="00D57CE1"/>
    <w:rsid w:val="00D61CFF"/>
    <w:rsid w:val="00D63617"/>
    <w:rsid w:val="00D70419"/>
    <w:rsid w:val="00D73794"/>
    <w:rsid w:val="00D74D65"/>
    <w:rsid w:val="00D74F6B"/>
    <w:rsid w:val="00D8015E"/>
    <w:rsid w:val="00D86C9E"/>
    <w:rsid w:val="00D87CD3"/>
    <w:rsid w:val="00D90107"/>
    <w:rsid w:val="00D97D00"/>
    <w:rsid w:val="00DA1598"/>
    <w:rsid w:val="00DA1B60"/>
    <w:rsid w:val="00DA33C2"/>
    <w:rsid w:val="00DA3B0E"/>
    <w:rsid w:val="00DB1397"/>
    <w:rsid w:val="00DB2659"/>
    <w:rsid w:val="00DB3ABC"/>
    <w:rsid w:val="00DB40C8"/>
    <w:rsid w:val="00DB51C3"/>
    <w:rsid w:val="00DC139A"/>
    <w:rsid w:val="00DC185E"/>
    <w:rsid w:val="00DD2D12"/>
    <w:rsid w:val="00DD2D3A"/>
    <w:rsid w:val="00DD49AA"/>
    <w:rsid w:val="00DE1075"/>
    <w:rsid w:val="00DE19EC"/>
    <w:rsid w:val="00DE716D"/>
    <w:rsid w:val="00DF7EB5"/>
    <w:rsid w:val="00E01956"/>
    <w:rsid w:val="00E038E4"/>
    <w:rsid w:val="00E049CF"/>
    <w:rsid w:val="00E04F1E"/>
    <w:rsid w:val="00E04F89"/>
    <w:rsid w:val="00E05C42"/>
    <w:rsid w:val="00E07655"/>
    <w:rsid w:val="00E078EF"/>
    <w:rsid w:val="00E142B1"/>
    <w:rsid w:val="00E20991"/>
    <w:rsid w:val="00E23894"/>
    <w:rsid w:val="00E31403"/>
    <w:rsid w:val="00E335FA"/>
    <w:rsid w:val="00E337D5"/>
    <w:rsid w:val="00E35267"/>
    <w:rsid w:val="00E37137"/>
    <w:rsid w:val="00E42D3B"/>
    <w:rsid w:val="00E469A1"/>
    <w:rsid w:val="00E47D23"/>
    <w:rsid w:val="00E55D49"/>
    <w:rsid w:val="00E626E0"/>
    <w:rsid w:val="00E70D6F"/>
    <w:rsid w:val="00E81423"/>
    <w:rsid w:val="00E82C18"/>
    <w:rsid w:val="00E82F14"/>
    <w:rsid w:val="00E85926"/>
    <w:rsid w:val="00E903E8"/>
    <w:rsid w:val="00E92455"/>
    <w:rsid w:val="00E94DC2"/>
    <w:rsid w:val="00EA0DC3"/>
    <w:rsid w:val="00EA187C"/>
    <w:rsid w:val="00EA1E6D"/>
    <w:rsid w:val="00EA2979"/>
    <w:rsid w:val="00EA7166"/>
    <w:rsid w:val="00EB2CB6"/>
    <w:rsid w:val="00EB45B9"/>
    <w:rsid w:val="00EB7CC8"/>
    <w:rsid w:val="00EC0ABA"/>
    <w:rsid w:val="00EC303B"/>
    <w:rsid w:val="00EC36A8"/>
    <w:rsid w:val="00EC4879"/>
    <w:rsid w:val="00ED4585"/>
    <w:rsid w:val="00ED795D"/>
    <w:rsid w:val="00EE3958"/>
    <w:rsid w:val="00EE50F2"/>
    <w:rsid w:val="00EE68FE"/>
    <w:rsid w:val="00EE73CF"/>
    <w:rsid w:val="00EE781D"/>
    <w:rsid w:val="00EF145A"/>
    <w:rsid w:val="00EF2D8D"/>
    <w:rsid w:val="00F0089C"/>
    <w:rsid w:val="00F05D1C"/>
    <w:rsid w:val="00F073BE"/>
    <w:rsid w:val="00F1270C"/>
    <w:rsid w:val="00F144D7"/>
    <w:rsid w:val="00F1495C"/>
    <w:rsid w:val="00F14BCD"/>
    <w:rsid w:val="00F17441"/>
    <w:rsid w:val="00F20D64"/>
    <w:rsid w:val="00F24ED2"/>
    <w:rsid w:val="00F252FA"/>
    <w:rsid w:val="00F301CF"/>
    <w:rsid w:val="00F30C07"/>
    <w:rsid w:val="00F310D8"/>
    <w:rsid w:val="00F31E12"/>
    <w:rsid w:val="00F37416"/>
    <w:rsid w:val="00F40476"/>
    <w:rsid w:val="00F412A2"/>
    <w:rsid w:val="00F4342A"/>
    <w:rsid w:val="00F434F6"/>
    <w:rsid w:val="00F46D98"/>
    <w:rsid w:val="00F47AD4"/>
    <w:rsid w:val="00F50864"/>
    <w:rsid w:val="00F53714"/>
    <w:rsid w:val="00F54358"/>
    <w:rsid w:val="00F54B8E"/>
    <w:rsid w:val="00F57D76"/>
    <w:rsid w:val="00F61D09"/>
    <w:rsid w:val="00F61DB6"/>
    <w:rsid w:val="00F632A2"/>
    <w:rsid w:val="00F6375C"/>
    <w:rsid w:val="00F65632"/>
    <w:rsid w:val="00F657F1"/>
    <w:rsid w:val="00F674C6"/>
    <w:rsid w:val="00F710DF"/>
    <w:rsid w:val="00F76693"/>
    <w:rsid w:val="00F82646"/>
    <w:rsid w:val="00F84B43"/>
    <w:rsid w:val="00F85E5C"/>
    <w:rsid w:val="00F865C3"/>
    <w:rsid w:val="00F87142"/>
    <w:rsid w:val="00F91DD4"/>
    <w:rsid w:val="00F93890"/>
    <w:rsid w:val="00F97274"/>
    <w:rsid w:val="00F97CC5"/>
    <w:rsid w:val="00FA190E"/>
    <w:rsid w:val="00FA4588"/>
    <w:rsid w:val="00FA4EB1"/>
    <w:rsid w:val="00FA58A1"/>
    <w:rsid w:val="00FA6EF5"/>
    <w:rsid w:val="00FA78FF"/>
    <w:rsid w:val="00FB03C8"/>
    <w:rsid w:val="00FB0C22"/>
    <w:rsid w:val="00FB514C"/>
    <w:rsid w:val="00FB5960"/>
    <w:rsid w:val="00FC0041"/>
    <w:rsid w:val="00FC1648"/>
    <w:rsid w:val="00FC4C1D"/>
    <w:rsid w:val="00FC542E"/>
    <w:rsid w:val="00FD30A4"/>
    <w:rsid w:val="00FD68EB"/>
    <w:rsid w:val="00FD7296"/>
    <w:rsid w:val="00FD74C7"/>
    <w:rsid w:val="00FE1BC5"/>
    <w:rsid w:val="00FE1F76"/>
    <w:rsid w:val="00FE64D5"/>
    <w:rsid w:val="00FE799E"/>
    <w:rsid w:val="00FF265A"/>
    <w:rsid w:val="00FF2CA7"/>
    <w:rsid w:val="00FF48D9"/>
    <w:rsid w:val="00FF5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9617"/>
    <o:shapelayout v:ext="edit">
      <o:idmap v:ext="edit" data="1"/>
    </o:shapelayout>
  </w:shapeDefaults>
  <w:decimalSymbol w:val="."/>
  <w:listSeparator w:val=","/>
  <w14:docId w14:val="482BB84F"/>
  <w15:chartTrackingRefBased/>
  <w15:docId w15:val="{F8B22EFD-FA4D-4209-B419-6C3FF47A9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FB0"/>
    <w:pPr>
      <w:spacing w:after="0" w:line="240" w:lineRule="auto"/>
    </w:pPr>
    <w:rPr>
      <w:rFonts w:ascii="Calibri" w:hAnsi="Calibri" w:cs="Calibri"/>
    </w:rPr>
  </w:style>
  <w:style w:type="paragraph" w:styleId="Heading1">
    <w:name w:val="heading 1"/>
    <w:basedOn w:val="Normal"/>
    <w:link w:val="Heading1Char"/>
    <w:uiPriority w:val="9"/>
    <w:qFormat/>
    <w:rsid w:val="005B7F2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4FB0"/>
    <w:rPr>
      <w:color w:val="0563C1"/>
      <w:u w:val="single"/>
    </w:rPr>
  </w:style>
  <w:style w:type="character" w:styleId="FollowedHyperlink">
    <w:name w:val="FollowedHyperlink"/>
    <w:basedOn w:val="DefaultParagraphFont"/>
    <w:uiPriority w:val="99"/>
    <w:semiHidden/>
    <w:unhideWhenUsed/>
    <w:rsid w:val="007C5E5C"/>
    <w:rPr>
      <w:color w:val="954F72" w:themeColor="followedHyperlink"/>
      <w:u w:val="single"/>
    </w:rPr>
  </w:style>
  <w:style w:type="paragraph" w:styleId="Header">
    <w:name w:val="header"/>
    <w:basedOn w:val="Normal"/>
    <w:link w:val="HeaderChar"/>
    <w:uiPriority w:val="99"/>
    <w:unhideWhenUsed/>
    <w:rsid w:val="00CC380D"/>
    <w:pPr>
      <w:tabs>
        <w:tab w:val="center" w:pos="4680"/>
        <w:tab w:val="right" w:pos="9360"/>
      </w:tabs>
    </w:pPr>
  </w:style>
  <w:style w:type="character" w:customStyle="1" w:styleId="HeaderChar">
    <w:name w:val="Header Char"/>
    <w:basedOn w:val="DefaultParagraphFont"/>
    <w:link w:val="Header"/>
    <w:uiPriority w:val="99"/>
    <w:rsid w:val="00CC380D"/>
    <w:rPr>
      <w:rFonts w:ascii="Calibri" w:hAnsi="Calibri" w:cs="Calibri"/>
    </w:rPr>
  </w:style>
  <w:style w:type="paragraph" w:styleId="Footer">
    <w:name w:val="footer"/>
    <w:basedOn w:val="Normal"/>
    <w:link w:val="FooterChar"/>
    <w:uiPriority w:val="99"/>
    <w:unhideWhenUsed/>
    <w:rsid w:val="00CC380D"/>
    <w:pPr>
      <w:tabs>
        <w:tab w:val="center" w:pos="4680"/>
        <w:tab w:val="right" w:pos="9360"/>
      </w:tabs>
    </w:pPr>
  </w:style>
  <w:style w:type="character" w:customStyle="1" w:styleId="FooterChar">
    <w:name w:val="Footer Char"/>
    <w:basedOn w:val="DefaultParagraphFont"/>
    <w:link w:val="Footer"/>
    <w:uiPriority w:val="99"/>
    <w:rsid w:val="00CC380D"/>
    <w:rPr>
      <w:rFonts w:ascii="Calibri" w:hAnsi="Calibri" w:cs="Calibri"/>
    </w:rPr>
  </w:style>
  <w:style w:type="character" w:styleId="Strong">
    <w:name w:val="Strong"/>
    <w:uiPriority w:val="22"/>
    <w:qFormat/>
    <w:rsid w:val="00CC380D"/>
    <w:rPr>
      <w:b/>
      <w:bCs/>
    </w:rPr>
  </w:style>
  <w:style w:type="paragraph" w:styleId="BalloonText">
    <w:name w:val="Balloon Text"/>
    <w:basedOn w:val="Normal"/>
    <w:link w:val="BalloonTextChar"/>
    <w:uiPriority w:val="99"/>
    <w:semiHidden/>
    <w:unhideWhenUsed/>
    <w:rsid w:val="00CE00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0A4"/>
    <w:rPr>
      <w:rFonts w:ascii="Segoe UI" w:hAnsi="Segoe UI" w:cs="Segoe UI"/>
      <w:sz w:val="18"/>
      <w:szCs w:val="18"/>
    </w:rPr>
  </w:style>
  <w:style w:type="paragraph" w:styleId="NormalWeb">
    <w:name w:val="Normal (Web)"/>
    <w:basedOn w:val="Normal"/>
    <w:uiPriority w:val="99"/>
    <w:semiHidden/>
    <w:unhideWhenUsed/>
    <w:rsid w:val="003765AD"/>
    <w:pPr>
      <w:spacing w:before="100" w:beforeAutospacing="1" w:after="100" w:afterAutospacing="1"/>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EE7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E73CF"/>
    <w:rPr>
      <w:rFonts w:ascii="Courier New" w:eastAsia="Times New Roman" w:hAnsi="Courier New" w:cs="Courier New"/>
      <w:sz w:val="20"/>
      <w:szCs w:val="20"/>
    </w:rPr>
  </w:style>
  <w:style w:type="paragraph" w:customStyle="1" w:styleId="Default">
    <w:name w:val="Default"/>
    <w:rsid w:val="00862684"/>
    <w:pPr>
      <w:autoSpaceDE w:val="0"/>
      <w:autoSpaceDN w:val="0"/>
      <w:adjustRightInd w:val="0"/>
      <w:spacing w:after="0" w:line="240" w:lineRule="auto"/>
    </w:pPr>
    <w:rPr>
      <w:rFonts w:ascii="Wells Fargo Sans" w:hAnsi="Wells Fargo Sans" w:cs="Wells Fargo Sans"/>
      <w:color w:val="000000"/>
      <w:sz w:val="24"/>
      <w:szCs w:val="24"/>
    </w:rPr>
  </w:style>
  <w:style w:type="table" w:styleId="TableGrid">
    <w:name w:val="Table Grid"/>
    <w:basedOn w:val="TableNormal"/>
    <w:uiPriority w:val="39"/>
    <w:rsid w:val="00155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B7F2C"/>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8B3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811">
      <w:bodyDiv w:val="1"/>
      <w:marLeft w:val="0"/>
      <w:marRight w:val="0"/>
      <w:marTop w:val="0"/>
      <w:marBottom w:val="0"/>
      <w:divBdr>
        <w:top w:val="none" w:sz="0" w:space="0" w:color="auto"/>
        <w:left w:val="none" w:sz="0" w:space="0" w:color="auto"/>
        <w:bottom w:val="none" w:sz="0" w:space="0" w:color="auto"/>
        <w:right w:val="none" w:sz="0" w:space="0" w:color="auto"/>
      </w:divBdr>
    </w:div>
    <w:div w:id="3171018">
      <w:bodyDiv w:val="1"/>
      <w:marLeft w:val="0"/>
      <w:marRight w:val="0"/>
      <w:marTop w:val="0"/>
      <w:marBottom w:val="0"/>
      <w:divBdr>
        <w:top w:val="none" w:sz="0" w:space="0" w:color="auto"/>
        <w:left w:val="none" w:sz="0" w:space="0" w:color="auto"/>
        <w:bottom w:val="none" w:sz="0" w:space="0" w:color="auto"/>
        <w:right w:val="none" w:sz="0" w:space="0" w:color="auto"/>
      </w:divBdr>
    </w:div>
    <w:div w:id="7408871">
      <w:bodyDiv w:val="1"/>
      <w:marLeft w:val="0"/>
      <w:marRight w:val="0"/>
      <w:marTop w:val="0"/>
      <w:marBottom w:val="0"/>
      <w:divBdr>
        <w:top w:val="none" w:sz="0" w:space="0" w:color="auto"/>
        <w:left w:val="none" w:sz="0" w:space="0" w:color="auto"/>
        <w:bottom w:val="none" w:sz="0" w:space="0" w:color="auto"/>
        <w:right w:val="none" w:sz="0" w:space="0" w:color="auto"/>
      </w:divBdr>
    </w:div>
    <w:div w:id="20790077">
      <w:bodyDiv w:val="1"/>
      <w:marLeft w:val="0"/>
      <w:marRight w:val="0"/>
      <w:marTop w:val="0"/>
      <w:marBottom w:val="0"/>
      <w:divBdr>
        <w:top w:val="none" w:sz="0" w:space="0" w:color="auto"/>
        <w:left w:val="none" w:sz="0" w:space="0" w:color="auto"/>
        <w:bottom w:val="none" w:sz="0" w:space="0" w:color="auto"/>
        <w:right w:val="none" w:sz="0" w:space="0" w:color="auto"/>
      </w:divBdr>
    </w:div>
    <w:div w:id="36124098">
      <w:bodyDiv w:val="1"/>
      <w:marLeft w:val="0"/>
      <w:marRight w:val="0"/>
      <w:marTop w:val="0"/>
      <w:marBottom w:val="0"/>
      <w:divBdr>
        <w:top w:val="none" w:sz="0" w:space="0" w:color="auto"/>
        <w:left w:val="none" w:sz="0" w:space="0" w:color="auto"/>
        <w:bottom w:val="none" w:sz="0" w:space="0" w:color="auto"/>
        <w:right w:val="none" w:sz="0" w:space="0" w:color="auto"/>
      </w:divBdr>
    </w:div>
    <w:div w:id="40401607">
      <w:bodyDiv w:val="1"/>
      <w:marLeft w:val="0"/>
      <w:marRight w:val="0"/>
      <w:marTop w:val="0"/>
      <w:marBottom w:val="0"/>
      <w:divBdr>
        <w:top w:val="none" w:sz="0" w:space="0" w:color="auto"/>
        <w:left w:val="none" w:sz="0" w:space="0" w:color="auto"/>
        <w:bottom w:val="none" w:sz="0" w:space="0" w:color="auto"/>
        <w:right w:val="none" w:sz="0" w:space="0" w:color="auto"/>
      </w:divBdr>
    </w:div>
    <w:div w:id="54816599">
      <w:bodyDiv w:val="1"/>
      <w:marLeft w:val="0"/>
      <w:marRight w:val="0"/>
      <w:marTop w:val="0"/>
      <w:marBottom w:val="0"/>
      <w:divBdr>
        <w:top w:val="none" w:sz="0" w:space="0" w:color="auto"/>
        <w:left w:val="none" w:sz="0" w:space="0" w:color="auto"/>
        <w:bottom w:val="none" w:sz="0" w:space="0" w:color="auto"/>
        <w:right w:val="none" w:sz="0" w:space="0" w:color="auto"/>
      </w:divBdr>
    </w:div>
    <w:div w:id="73557302">
      <w:bodyDiv w:val="1"/>
      <w:marLeft w:val="0"/>
      <w:marRight w:val="0"/>
      <w:marTop w:val="0"/>
      <w:marBottom w:val="0"/>
      <w:divBdr>
        <w:top w:val="none" w:sz="0" w:space="0" w:color="auto"/>
        <w:left w:val="none" w:sz="0" w:space="0" w:color="auto"/>
        <w:bottom w:val="none" w:sz="0" w:space="0" w:color="auto"/>
        <w:right w:val="none" w:sz="0" w:space="0" w:color="auto"/>
      </w:divBdr>
    </w:div>
    <w:div w:id="81073990">
      <w:bodyDiv w:val="1"/>
      <w:marLeft w:val="0"/>
      <w:marRight w:val="0"/>
      <w:marTop w:val="0"/>
      <w:marBottom w:val="0"/>
      <w:divBdr>
        <w:top w:val="none" w:sz="0" w:space="0" w:color="auto"/>
        <w:left w:val="none" w:sz="0" w:space="0" w:color="auto"/>
        <w:bottom w:val="none" w:sz="0" w:space="0" w:color="auto"/>
        <w:right w:val="none" w:sz="0" w:space="0" w:color="auto"/>
      </w:divBdr>
    </w:div>
    <w:div w:id="84811653">
      <w:bodyDiv w:val="1"/>
      <w:marLeft w:val="0"/>
      <w:marRight w:val="0"/>
      <w:marTop w:val="0"/>
      <w:marBottom w:val="0"/>
      <w:divBdr>
        <w:top w:val="none" w:sz="0" w:space="0" w:color="auto"/>
        <w:left w:val="none" w:sz="0" w:space="0" w:color="auto"/>
        <w:bottom w:val="none" w:sz="0" w:space="0" w:color="auto"/>
        <w:right w:val="none" w:sz="0" w:space="0" w:color="auto"/>
      </w:divBdr>
    </w:div>
    <w:div w:id="86464664">
      <w:bodyDiv w:val="1"/>
      <w:marLeft w:val="0"/>
      <w:marRight w:val="0"/>
      <w:marTop w:val="0"/>
      <w:marBottom w:val="0"/>
      <w:divBdr>
        <w:top w:val="none" w:sz="0" w:space="0" w:color="auto"/>
        <w:left w:val="none" w:sz="0" w:space="0" w:color="auto"/>
        <w:bottom w:val="none" w:sz="0" w:space="0" w:color="auto"/>
        <w:right w:val="none" w:sz="0" w:space="0" w:color="auto"/>
      </w:divBdr>
    </w:div>
    <w:div w:id="91051665">
      <w:bodyDiv w:val="1"/>
      <w:marLeft w:val="0"/>
      <w:marRight w:val="0"/>
      <w:marTop w:val="0"/>
      <w:marBottom w:val="0"/>
      <w:divBdr>
        <w:top w:val="none" w:sz="0" w:space="0" w:color="auto"/>
        <w:left w:val="none" w:sz="0" w:space="0" w:color="auto"/>
        <w:bottom w:val="none" w:sz="0" w:space="0" w:color="auto"/>
        <w:right w:val="none" w:sz="0" w:space="0" w:color="auto"/>
      </w:divBdr>
    </w:div>
    <w:div w:id="97524326">
      <w:bodyDiv w:val="1"/>
      <w:marLeft w:val="0"/>
      <w:marRight w:val="0"/>
      <w:marTop w:val="0"/>
      <w:marBottom w:val="0"/>
      <w:divBdr>
        <w:top w:val="none" w:sz="0" w:space="0" w:color="auto"/>
        <w:left w:val="none" w:sz="0" w:space="0" w:color="auto"/>
        <w:bottom w:val="none" w:sz="0" w:space="0" w:color="auto"/>
        <w:right w:val="none" w:sz="0" w:space="0" w:color="auto"/>
      </w:divBdr>
    </w:div>
    <w:div w:id="110901936">
      <w:bodyDiv w:val="1"/>
      <w:marLeft w:val="0"/>
      <w:marRight w:val="0"/>
      <w:marTop w:val="0"/>
      <w:marBottom w:val="0"/>
      <w:divBdr>
        <w:top w:val="none" w:sz="0" w:space="0" w:color="auto"/>
        <w:left w:val="none" w:sz="0" w:space="0" w:color="auto"/>
        <w:bottom w:val="none" w:sz="0" w:space="0" w:color="auto"/>
        <w:right w:val="none" w:sz="0" w:space="0" w:color="auto"/>
      </w:divBdr>
    </w:div>
    <w:div w:id="111754050">
      <w:bodyDiv w:val="1"/>
      <w:marLeft w:val="0"/>
      <w:marRight w:val="0"/>
      <w:marTop w:val="0"/>
      <w:marBottom w:val="0"/>
      <w:divBdr>
        <w:top w:val="none" w:sz="0" w:space="0" w:color="auto"/>
        <w:left w:val="none" w:sz="0" w:space="0" w:color="auto"/>
        <w:bottom w:val="none" w:sz="0" w:space="0" w:color="auto"/>
        <w:right w:val="none" w:sz="0" w:space="0" w:color="auto"/>
      </w:divBdr>
    </w:div>
    <w:div w:id="119030796">
      <w:bodyDiv w:val="1"/>
      <w:marLeft w:val="0"/>
      <w:marRight w:val="0"/>
      <w:marTop w:val="0"/>
      <w:marBottom w:val="0"/>
      <w:divBdr>
        <w:top w:val="none" w:sz="0" w:space="0" w:color="auto"/>
        <w:left w:val="none" w:sz="0" w:space="0" w:color="auto"/>
        <w:bottom w:val="none" w:sz="0" w:space="0" w:color="auto"/>
        <w:right w:val="none" w:sz="0" w:space="0" w:color="auto"/>
      </w:divBdr>
      <w:divsChild>
        <w:div w:id="601838027">
          <w:marLeft w:val="187"/>
          <w:marRight w:val="0"/>
          <w:marTop w:val="60"/>
          <w:marBottom w:val="0"/>
          <w:divBdr>
            <w:top w:val="none" w:sz="0" w:space="0" w:color="auto"/>
            <w:left w:val="none" w:sz="0" w:space="0" w:color="auto"/>
            <w:bottom w:val="none" w:sz="0" w:space="0" w:color="auto"/>
            <w:right w:val="none" w:sz="0" w:space="0" w:color="auto"/>
          </w:divBdr>
        </w:div>
      </w:divsChild>
    </w:div>
    <w:div w:id="143396403">
      <w:bodyDiv w:val="1"/>
      <w:marLeft w:val="0"/>
      <w:marRight w:val="0"/>
      <w:marTop w:val="0"/>
      <w:marBottom w:val="0"/>
      <w:divBdr>
        <w:top w:val="none" w:sz="0" w:space="0" w:color="auto"/>
        <w:left w:val="none" w:sz="0" w:space="0" w:color="auto"/>
        <w:bottom w:val="none" w:sz="0" w:space="0" w:color="auto"/>
        <w:right w:val="none" w:sz="0" w:space="0" w:color="auto"/>
      </w:divBdr>
    </w:div>
    <w:div w:id="149100356">
      <w:bodyDiv w:val="1"/>
      <w:marLeft w:val="0"/>
      <w:marRight w:val="0"/>
      <w:marTop w:val="0"/>
      <w:marBottom w:val="0"/>
      <w:divBdr>
        <w:top w:val="none" w:sz="0" w:space="0" w:color="auto"/>
        <w:left w:val="none" w:sz="0" w:space="0" w:color="auto"/>
        <w:bottom w:val="none" w:sz="0" w:space="0" w:color="auto"/>
        <w:right w:val="none" w:sz="0" w:space="0" w:color="auto"/>
      </w:divBdr>
    </w:div>
    <w:div w:id="154497583">
      <w:bodyDiv w:val="1"/>
      <w:marLeft w:val="0"/>
      <w:marRight w:val="0"/>
      <w:marTop w:val="0"/>
      <w:marBottom w:val="0"/>
      <w:divBdr>
        <w:top w:val="none" w:sz="0" w:space="0" w:color="auto"/>
        <w:left w:val="none" w:sz="0" w:space="0" w:color="auto"/>
        <w:bottom w:val="none" w:sz="0" w:space="0" w:color="auto"/>
        <w:right w:val="none" w:sz="0" w:space="0" w:color="auto"/>
      </w:divBdr>
    </w:div>
    <w:div w:id="174924324">
      <w:bodyDiv w:val="1"/>
      <w:marLeft w:val="0"/>
      <w:marRight w:val="0"/>
      <w:marTop w:val="0"/>
      <w:marBottom w:val="0"/>
      <w:divBdr>
        <w:top w:val="none" w:sz="0" w:space="0" w:color="auto"/>
        <w:left w:val="none" w:sz="0" w:space="0" w:color="auto"/>
        <w:bottom w:val="none" w:sz="0" w:space="0" w:color="auto"/>
        <w:right w:val="none" w:sz="0" w:space="0" w:color="auto"/>
      </w:divBdr>
    </w:div>
    <w:div w:id="176238860">
      <w:bodyDiv w:val="1"/>
      <w:marLeft w:val="0"/>
      <w:marRight w:val="0"/>
      <w:marTop w:val="0"/>
      <w:marBottom w:val="0"/>
      <w:divBdr>
        <w:top w:val="none" w:sz="0" w:space="0" w:color="auto"/>
        <w:left w:val="none" w:sz="0" w:space="0" w:color="auto"/>
        <w:bottom w:val="none" w:sz="0" w:space="0" w:color="auto"/>
        <w:right w:val="none" w:sz="0" w:space="0" w:color="auto"/>
      </w:divBdr>
    </w:div>
    <w:div w:id="215970670">
      <w:bodyDiv w:val="1"/>
      <w:marLeft w:val="0"/>
      <w:marRight w:val="0"/>
      <w:marTop w:val="0"/>
      <w:marBottom w:val="0"/>
      <w:divBdr>
        <w:top w:val="none" w:sz="0" w:space="0" w:color="auto"/>
        <w:left w:val="none" w:sz="0" w:space="0" w:color="auto"/>
        <w:bottom w:val="none" w:sz="0" w:space="0" w:color="auto"/>
        <w:right w:val="none" w:sz="0" w:space="0" w:color="auto"/>
      </w:divBdr>
    </w:div>
    <w:div w:id="220796732">
      <w:bodyDiv w:val="1"/>
      <w:marLeft w:val="0"/>
      <w:marRight w:val="0"/>
      <w:marTop w:val="0"/>
      <w:marBottom w:val="0"/>
      <w:divBdr>
        <w:top w:val="none" w:sz="0" w:space="0" w:color="auto"/>
        <w:left w:val="none" w:sz="0" w:space="0" w:color="auto"/>
        <w:bottom w:val="none" w:sz="0" w:space="0" w:color="auto"/>
        <w:right w:val="none" w:sz="0" w:space="0" w:color="auto"/>
      </w:divBdr>
    </w:div>
    <w:div w:id="239025916">
      <w:bodyDiv w:val="1"/>
      <w:marLeft w:val="0"/>
      <w:marRight w:val="0"/>
      <w:marTop w:val="0"/>
      <w:marBottom w:val="0"/>
      <w:divBdr>
        <w:top w:val="none" w:sz="0" w:space="0" w:color="auto"/>
        <w:left w:val="none" w:sz="0" w:space="0" w:color="auto"/>
        <w:bottom w:val="none" w:sz="0" w:space="0" w:color="auto"/>
        <w:right w:val="none" w:sz="0" w:space="0" w:color="auto"/>
      </w:divBdr>
    </w:div>
    <w:div w:id="241372619">
      <w:bodyDiv w:val="1"/>
      <w:marLeft w:val="0"/>
      <w:marRight w:val="0"/>
      <w:marTop w:val="0"/>
      <w:marBottom w:val="0"/>
      <w:divBdr>
        <w:top w:val="none" w:sz="0" w:space="0" w:color="auto"/>
        <w:left w:val="none" w:sz="0" w:space="0" w:color="auto"/>
        <w:bottom w:val="none" w:sz="0" w:space="0" w:color="auto"/>
        <w:right w:val="none" w:sz="0" w:space="0" w:color="auto"/>
      </w:divBdr>
    </w:div>
    <w:div w:id="268049135">
      <w:bodyDiv w:val="1"/>
      <w:marLeft w:val="0"/>
      <w:marRight w:val="0"/>
      <w:marTop w:val="0"/>
      <w:marBottom w:val="0"/>
      <w:divBdr>
        <w:top w:val="none" w:sz="0" w:space="0" w:color="auto"/>
        <w:left w:val="none" w:sz="0" w:space="0" w:color="auto"/>
        <w:bottom w:val="none" w:sz="0" w:space="0" w:color="auto"/>
        <w:right w:val="none" w:sz="0" w:space="0" w:color="auto"/>
      </w:divBdr>
    </w:div>
    <w:div w:id="274098507">
      <w:bodyDiv w:val="1"/>
      <w:marLeft w:val="0"/>
      <w:marRight w:val="0"/>
      <w:marTop w:val="0"/>
      <w:marBottom w:val="0"/>
      <w:divBdr>
        <w:top w:val="none" w:sz="0" w:space="0" w:color="auto"/>
        <w:left w:val="none" w:sz="0" w:space="0" w:color="auto"/>
        <w:bottom w:val="none" w:sz="0" w:space="0" w:color="auto"/>
        <w:right w:val="none" w:sz="0" w:space="0" w:color="auto"/>
      </w:divBdr>
    </w:div>
    <w:div w:id="285893512">
      <w:bodyDiv w:val="1"/>
      <w:marLeft w:val="0"/>
      <w:marRight w:val="0"/>
      <w:marTop w:val="0"/>
      <w:marBottom w:val="0"/>
      <w:divBdr>
        <w:top w:val="none" w:sz="0" w:space="0" w:color="auto"/>
        <w:left w:val="none" w:sz="0" w:space="0" w:color="auto"/>
        <w:bottom w:val="none" w:sz="0" w:space="0" w:color="auto"/>
        <w:right w:val="none" w:sz="0" w:space="0" w:color="auto"/>
      </w:divBdr>
    </w:div>
    <w:div w:id="293753730">
      <w:bodyDiv w:val="1"/>
      <w:marLeft w:val="0"/>
      <w:marRight w:val="0"/>
      <w:marTop w:val="0"/>
      <w:marBottom w:val="0"/>
      <w:divBdr>
        <w:top w:val="none" w:sz="0" w:space="0" w:color="auto"/>
        <w:left w:val="none" w:sz="0" w:space="0" w:color="auto"/>
        <w:bottom w:val="none" w:sz="0" w:space="0" w:color="auto"/>
        <w:right w:val="none" w:sz="0" w:space="0" w:color="auto"/>
      </w:divBdr>
    </w:div>
    <w:div w:id="297957359">
      <w:bodyDiv w:val="1"/>
      <w:marLeft w:val="0"/>
      <w:marRight w:val="0"/>
      <w:marTop w:val="0"/>
      <w:marBottom w:val="0"/>
      <w:divBdr>
        <w:top w:val="none" w:sz="0" w:space="0" w:color="auto"/>
        <w:left w:val="none" w:sz="0" w:space="0" w:color="auto"/>
        <w:bottom w:val="none" w:sz="0" w:space="0" w:color="auto"/>
        <w:right w:val="none" w:sz="0" w:space="0" w:color="auto"/>
      </w:divBdr>
    </w:div>
    <w:div w:id="304431670">
      <w:bodyDiv w:val="1"/>
      <w:marLeft w:val="0"/>
      <w:marRight w:val="0"/>
      <w:marTop w:val="0"/>
      <w:marBottom w:val="0"/>
      <w:divBdr>
        <w:top w:val="none" w:sz="0" w:space="0" w:color="auto"/>
        <w:left w:val="none" w:sz="0" w:space="0" w:color="auto"/>
        <w:bottom w:val="none" w:sz="0" w:space="0" w:color="auto"/>
        <w:right w:val="none" w:sz="0" w:space="0" w:color="auto"/>
      </w:divBdr>
    </w:div>
    <w:div w:id="304743755">
      <w:bodyDiv w:val="1"/>
      <w:marLeft w:val="0"/>
      <w:marRight w:val="0"/>
      <w:marTop w:val="0"/>
      <w:marBottom w:val="0"/>
      <w:divBdr>
        <w:top w:val="none" w:sz="0" w:space="0" w:color="auto"/>
        <w:left w:val="none" w:sz="0" w:space="0" w:color="auto"/>
        <w:bottom w:val="none" w:sz="0" w:space="0" w:color="auto"/>
        <w:right w:val="none" w:sz="0" w:space="0" w:color="auto"/>
      </w:divBdr>
    </w:div>
    <w:div w:id="314190598">
      <w:bodyDiv w:val="1"/>
      <w:marLeft w:val="0"/>
      <w:marRight w:val="0"/>
      <w:marTop w:val="0"/>
      <w:marBottom w:val="0"/>
      <w:divBdr>
        <w:top w:val="none" w:sz="0" w:space="0" w:color="auto"/>
        <w:left w:val="none" w:sz="0" w:space="0" w:color="auto"/>
        <w:bottom w:val="none" w:sz="0" w:space="0" w:color="auto"/>
        <w:right w:val="none" w:sz="0" w:space="0" w:color="auto"/>
      </w:divBdr>
    </w:div>
    <w:div w:id="319503969">
      <w:bodyDiv w:val="1"/>
      <w:marLeft w:val="0"/>
      <w:marRight w:val="0"/>
      <w:marTop w:val="0"/>
      <w:marBottom w:val="0"/>
      <w:divBdr>
        <w:top w:val="none" w:sz="0" w:space="0" w:color="auto"/>
        <w:left w:val="none" w:sz="0" w:space="0" w:color="auto"/>
        <w:bottom w:val="none" w:sz="0" w:space="0" w:color="auto"/>
        <w:right w:val="none" w:sz="0" w:space="0" w:color="auto"/>
      </w:divBdr>
    </w:div>
    <w:div w:id="333650380">
      <w:bodyDiv w:val="1"/>
      <w:marLeft w:val="0"/>
      <w:marRight w:val="0"/>
      <w:marTop w:val="0"/>
      <w:marBottom w:val="0"/>
      <w:divBdr>
        <w:top w:val="none" w:sz="0" w:space="0" w:color="auto"/>
        <w:left w:val="none" w:sz="0" w:space="0" w:color="auto"/>
        <w:bottom w:val="none" w:sz="0" w:space="0" w:color="auto"/>
        <w:right w:val="none" w:sz="0" w:space="0" w:color="auto"/>
      </w:divBdr>
    </w:div>
    <w:div w:id="369231929">
      <w:bodyDiv w:val="1"/>
      <w:marLeft w:val="0"/>
      <w:marRight w:val="0"/>
      <w:marTop w:val="0"/>
      <w:marBottom w:val="0"/>
      <w:divBdr>
        <w:top w:val="none" w:sz="0" w:space="0" w:color="auto"/>
        <w:left w:val="none" w:sz="0" w:space="0" w:color="auto"/>
        <w:bottom w:val="none" w:sz="0" w:space="0" w:color="auto"/>
        <w:right w:val="none" w:sz="0" w:space="0" w:color="auto"/>
      </w:divBdr>
    </w:div>
    <w:div w:id="374937423">
      <w:bodyDiv w:val="1"/>
      <w:marLeft w:val="0"/>
      <w:marRight w:val="0"/>
      <w:marTop w:val="0"/>
      <w:marBottom w:val="0"/>
      <w:divBdr>
        <w:top w:val="none" w:sz="0" w:space="0" w:color="auto"/>
        <w:left w:val="none" w:sz="0" w:space="0" w:color="auto"/>
        <w:bottom w:val="none" w:sz="0" w:space="0" w:color="auto"/>
        <w:right w:val="none" w:sz="0" w:space="0" w:color="auto"/>
      </w:divBdr>
    </w:div>
    <w:div w:id="380178396">
      <w:bodyDiv w:val="1"/>
      <w:marLeft w:val="0"/>
      <w:marRight w:val="0"/>
      <w:marTop w:val="0"/>
      <w:marBottom w:val="0"/>
      <w:divBdr>
        <w:top w:val="none" w:sz="0" w:space="0" w:color="auto"/>
        <w:left w:val="none" w:sz="0" w:space="0" w:color="auto"/>
        <w:bottom w:val="none" w:sz="0" w:space="0" w:color="auto"/>
        <w:right w:val="none" w:sz="0" w:space="0" w:color="auto"/>
      </w:divBdr>
    </w:div>
    <w:div w:id="386878017">
      <w:bodyDiv w:val="1"/>
      <w:marLeft w:val="0"/>
      <w:marRight w:val="0"/>
      <w:marTop w:val="0"/>
      <w:marBottom w:val="0"/>
      <w:divBdr>
        <w:top w:val="none" w:sz="0" w:space="0" w:color="auto"/>
        <w:left w:val="none" w:sz="0" w:space="0" w:color="auto"/>
        <w:bottom w:val="none" w:sz="0" w:space="0" w:color="auto"/>
        <w:right w:val="none" w:sz="0" w:space="0" w:color="auto"/>
      </w:divBdr>
    </w:div>
    <w:div w:id="392848825">
      <w:bodyDiv w:val="1"/>
      <w:marLeft w:val="0"/>
      <w:marRight w:val="0"/>
      <w:marTop w:val="0"/>
      <w:marBottom w:val="0"/>
      <w:divBdr>
        <w:top w:val="none" w:sz="0" w:space="0" w:color="auto"/>
        <w:left w:val="none" w:sz="0" w:space="0" w:color="auto"/>
        <w:bottom w:val="none" w:sz="0" w:space="0" w:color="auto"/>
        <w:right w:val="none" w:sz="0" w:space="0" w:color="auto"/>
      </w:divBdr>
    </w:div>
    <w:div w:id="414672252">
      <w:bodyDiv w:val="1"/>
      <w:marLeft w:val="0"/>
      <w:marRight w:val="0"/>
      <w:marTop w:val="0"/>
      <w:marBottom w:val="0"/>
      <w:divBdr>
        <w:top w:val="none" w:sz="0" w:space="0" w:color="auto"/>
        <w:left w:val="none" w:sz="0" w:space="0" w:color="auto"/>
        <w:bottom w:val="none" w:sz="0" w:space="0" w:color="auto"/>
        <w:right w:val="none" w:sz="0" w:space="0" w:color="auto"/>
      </w:divBdr>
    </w:div>
    <w:div w:id="432631482">
      <w:bodyDiv w:val="1"/>
      <w:marLeft w:val="0"/>
      <w:marRight w:val="0"/>
      <w:marTop w:val="0"/>
      <w:marBottom w:val="0"/>
      <w:divBdr>
        <w:top w:val="none" w:sz="0" w:space="0" w:color="auto"/>
        <w:left w:val="none" w:sz="0" w:space="0" w:color="auto"/>
        <w:bottom w:val="none" w:sz="0" w:space="0" w:color="auto"/>
        <w:right w:val="none" w:sz="0" w:space="0" w:color="auto"/>
      </w:divBdr>
    </w:div>
    <w:div w:id="434449064">
      <w:bodyDiv w:val="1"/>
      <w:marLeft w:val="0"/>
      <w:marRight w:val="0"/>
      <w:marTop w:val="0"/>
      <w:marBottom w:val="0"/>
      <w:divBdr>
        <w:top w:val="none" w:sz="0" w:space="0" w:color="auto"/>
        <w:left w:val="none" w:sz="0" w:space="0" w:color="auto"/>
        <w:bottom w:val="none" w:sz="0" w:space="0" w:color="auto"/>
        <w:right w:val="none" w:sz="0" w:space="0" w:color="auto"/>
      </w:divBdr>
    </w:div>
    <w:div w:id="455412515">
      <w:bodyDiv w:val="1"/>
      <w:marLeft w:val="0"/>
      <w:marRight w:val="0"/>
      <w:marTop w:val="0"/>
      <w:marBottom w:val="0"/>
      <w:divBdr>
        <w:top w:val="none" w:sz="0" w:space="0" w:color="auto"/>
        <w:left w:val="none" w:sz="0" w:space="0" w:color="auto"/>
        <w:bottom w:val="none" w:sz="0" w:space="0" w:color="auto"/>
        <w:right w:val="none" w:sz="0" w:space="0" w:color="auto"/>
      </w:divBdr>
    </w:div>
    <w:div w:id="457453357">
      <w:bodyDiv w:val="1"/>
      <w:marLeft w:val="0"/>
      <w:marRight w:val="0"/>
      <w:marTop w:val="0"/>
      <w:marBottom w:val="0"/>
      <w:divBdr>
        <w:top w:val="none" w:sz="0" w:space="0" w:color="auto"/>
        <w:left w:val="none" w:sz="0" w:space="0" w:color="auto"/>
        <w:bottom w:val="none" w:sz="0" w:space="0" w:color="auto"/>
        <w:right w:val="none" w:sz="0" w:space="0" w:color="auto"/>
      </w:divBdr>
    </w:div>
    <w:div w:id="460079812">
      <w:bodyDiv w:val="1"/>
      <w:marLeft w:val="0"/>
      <w:marRight w:val="0"/>
      <w:marTop w:val="0"/>
      <w:marBottom w:val="0"/>
      <w:divBdr>
        <w:top w:val="none" w:sz="0" w:space="0" w:color="auto"/>
        <w:left w:val="none" w:sz="0" w:space="0" w:color="auto"/>
        <w:bottom w:val="none" w:sz="0" w:space="0" w:color="auto"/>
        <w:right w:val="none" w:sz="0" w:space="0" w:color="auto"/>
      </w:divBdr>
    </w:div>
    <w:div w:id="463044473">
      <w:bodyDiv w:val="1"/>
      <w:marLeft w:val="0"/>
      <w:marRight w:val="0"/>
      <w:marTop w:val="0"/>
      <w:marBottom w:val="0"/>
      <w:divBdr>
        <w:top w:val="none" w:sz="0" w:space="0" w:color="auto"/>
        <w:left w:val="none" w:sz="0" w:space="0" w:color="auto"/>
        <w:bottom w:val="none" w:sz="0" w:space="0" w:color="auto"/>
        <w:right w:val="none" w:sz="0" w:space="0" w:color="auto"/>
      </w:divBdr>
    </w:div>
    <w:div w:id="471144593">
      <w:bodyDiv w:val="1"/>
      <w:marLeft w:val="0"/>
      <w:marRight w:val="0"/>
      <w:marTop w:val="0"/>
      <w:marBottom w:val="0"/>
      <w:divBdr>
        <w:top w:val="none" w:sz="0" w:space="0" w:color="auto"/>
        <w:left w:val="none" w:sz="0" w:space="0" w:color="auto"/>
        <w:bottom w:val="none" w:sz="0" w:space="0" w:color="auto"/>
        <w:right w:val="none" w:sz="0" w:space="0" w:color="auto"/>
      </w:divBdr>
    </w:div>
    <w:div w:id="483745836">
      <w:bodyDiv w:val="1"/>
      <w:marLeft w:val="0"/>
      <w:marRight w:val="0"/>
      <w:marTop w:val="0"/>
      <w:marBottom w:val="0"/>
      <w:divBdr>
        <w:top w:val="none" w:sz="0" w:space="0" w:color="auto"/>
        <w:left w:val="none" w:sz="0" w:space="0" w:color="auto"/>
        <w:bottom w:val="none" w:sz="0" w:space="0" w:color="auto"/>
        <w:right w:val="none" w:sz="0" w:space="0" w:color="auto"/>
      </w:divBdr>
    </w:div>
    <w:div w:id="514809793">
      <w:bodyDiv w:val="1"/>
      <w:marLeft w:val="0"/>
      <w:marRight w:val="0"/>
      <w:marTop w:val="0"/>
      <w:marBottom w:val="0"/>
      <w:divBdr>
        <w:top w:val="none" w:sz="0" w:space="0" w:color="auto"/>
        <w:left w:val="none" w:sz="0" w:space="0" w:color="auto"/>
        <w:bottom w:val="none" w:sz="0" w:space="0" w:color="auto"/>
        <w:right w:val="none" w:sz="0" w:space="0" w:color="auto"/>
      </w:divBdr>
    </w:div>
    <w:div w:id="520700307">
      <w:bodyDiv w:val="1"/>
      <w:marLeft w:val="0"/>
      <w:marRight w:val="0"/>
      <w:marTop w:val="0"/>
      <w:marBottom w:val="0"/>
      <w:divBdr>
        <w:top w:val="none" w:sz="0" w:space="0" w:color="auto"/>
        <w:left w:val="none" w:sz="0" w:space="0" w:color="auto"/>
        <w:bottom w:val="none" w:sz="0" w:space="0" w:color="auto"/>
        <w:right w:val="none" w:sz="0" w:space="0" w:color="auto"/>
      </w:divBdr>
    </w:div>
    <w:div w:id="524561132">
      <w:bodyDiv w:val="1"/>
      <w:marLeft w:val="0"/>
      <w:marRight w:val="0"/>
      <w:marTop w:val="0"/>
      <w:marBottom w:val="0"/>
      <w:divBdr>
        <w:top w:val="none" w:sz="0" w:space="0" w:color="auto"/>
        <w:left w:val="none" w:sz="0" w:space="0" w:color="auto"/>
        <w:bottom w:val="none" w:sz="0" w:space="0" w:color="auto"/>
        <w:right w:val="none" w:sz="0" w:space="0" w:color="auto"/>
      </w:divBdr>
    </w:div>
    <w:div w:id="527331088">
      <w:bodyDiv w:val="1"/>
      <w:marLeft w:val="0"/>
      <w:marRight w:val="0"/>
      <w:marTop w:val="0"/>
      <w:marBottom w:val="0"/>
      <w:divBdr>
        <w:top w:val="none" w:sz="0" w:space="0" w:color="auto"/>
        <w:left w:val="none" w:sz="0" w:space="0" w:color="auto"/>
        <w:bottom w:val="none" w:sz="0" w:space="0" w:color="auto"/>
        <w:right w:val="none" w:sz="0" w:space="0" w:color="auto"/>
      </w:divBdr>
    </w:div>
    <w:div w:id="527765091">
      <w:bodyDiv w:val="1"/>
      <w:marLeft w:val="0"/>
      <w:marRight w:val="0"/>
      <w:marTop w:val="0"/>
      <w:marBottom w:val="0"/>
      <w:divBdr>
        <w:top w:val="none" w:sz="0" w:space="0" w:color="auto"/>
        <w:left w:val="none" w:sz="0" w:space="0" w:color="auto"/>
        <w:bottom w:val="none" w:sz="0" w:space="0" w:color="auto"/>
        <w:right w:val="none" w:sz="0" w:space="0" w:color="auto"/>
      </w:divBdr>
    </w:div>
    <w:div w:id="540244267">
      <w:bodyDiv w:val="1"/>
      <w:marLeft w:val="0"/>
      <w:marRight w:val="0"/>
      <w:marTop w:val="0"/>
      <w:marBottom w:val="0"/>
      <w:divBdr>
        <w:top w:val="none" w:sz="0" w:space="0" w:color="auto"/>
        <w:left w:val="none" w:sz="0" w:space="0" w:color="auto"/>
        <w:bottom w:val="none" w:sz="0" w:space="0" w:color="auto"/>
        <w:right w:val="none" w:sz="0" w:space="0" w:color="auto"/>
      </w:divBdr>
    </w:div>
    <w:div w:id="550650831">
      <w:bodyDiv w:val="1"/>
      <w:marLeft w:val="0"/>
      <w:marRight w:val="0"/>
      <w:marTop w:val="0"/>
      <w:marBottom w:val="0"/>
      <w:divBdr>
        <w:top w:val="none" w:sz="0" w:space="0" w:color="auto"/>
        <w:left w:val="none" w:sz="0" w:space="0" w:color="auto"/>
        <w:bottom w:val="none" w:sz="0" w:space="0" w:color="auto"/>
        <w:right w:val="none" w:sz="0" w:space="0" w:color="auto"/>
      </w:divBdr>
    </w:div>
    <w:div w:id="552695196">
      <w:bodyDiv w:val="1"/>
      <w:marLeft w:val="0"/>
      <w:marRight w:val="0"/>
      <w:marTop w:val="0"/>
      <w:marBottom w:val="0"/>
      <w:divBdr>
        <w:top w:val="none" w:sz="0" w:space="0" w:color="auto"/>
        <w:left w:val="none" w:sz="0" w:space="0" w:color="auto"/>
        <w:bottom w:val="none" w:sz="0" w:space="0" w:color="auto"/>
        <w:right w:val="none" w:sz="0" w:space="0" w:color="auto"/>
      </w:divBdr>
    </w:div>
    <w:div w:id="559630975">
      <w:bodyDiv w:val="1"/>
      <w:marLeft w:val="0"/>
      <w:marRight w:val="0"/>
      <w:marTop w:val="0"/>
      <w:marBottom w:val="0"/>
      <w:divBdr>
        <w:top w:val="none" w:sz="0" w:space="0" w:color="auto"/>
        <w:left w:val="none" w:sz="0" w:space="0" w:color="auto"/>
        <w:bottom w:val="none" w:sz="0" w:space="0" w:color="auto"/>
        <w:right w:val="none" w:sz="0" w:space="0" w:color="auto"/>
      </w:divBdr>
    </w:div>
    <w:div w:id="572084791">
      <w:bodyDiv w:val="1"/>
      <w:marLeft w:val="0"/>
      <w:marRight w:val="0"/>
      <w:marTop w:val="0"/>
      <w:marBottom w:val="0"/>
      <w:divBdr>
        <w:top w:val="none" w:sz="0" w:space="0" w:color="auto"/>
        <w:left w:val="none" w:sz="0" w:space="0" w:color="auto"/>
        <w:bottom w:val="none" w:sz="0" w:space="0" w:color="auto"/>
        <w:right w:val="none" w:sz="0" w:space="0" w:color="auto"/>
      </w:divBdr>
    </w:div>
    <w:div w:id="593783626">
      <w:bodyDiv w:val="1"/>
      <w:marLeft w:val="0"/>
      <w:marRight w:val="0"/>
      <w:marTop w:val="0"/>
      <w:marBottom w:val="0"/>
      <w:divBdr>
        <w:top w:val="none" w:sz="0" w:space="0" w:color="auto"/>
        <w:left w:val="none" w:sz="0" w:space="0" w:color="auto"/>
        <w:bottom w:val="none" w:sz="0" w:space="0" w:color="auto"/>
        <w:right w:val="none" w:sz="0" w:space="0" w:color="auto"/>
      </w:divBdr>
    </w:div>
    <w:div w:id="610816981">
      <w:bodyDiv w:val="1"/>
      <w:marLeft w:val="0"/>
      <w:marRight w:val="0"/>
      <w:marTop w:val="0"/>
      <w:marBottom w:val="0"/>
      <w:divBdr>
        <w:top w:val="none" w:sz="0" w:space="0" w:color="auto"/>
        <w:left w:val="none" w:sz="0" w:space="0" w:color="auto"/>
        <w:bottom w:val="none" w:sz="0" w:space="0" w:color="auto"/>
        <w:right w:val="none" w:sz="0" w:space="0" w:color="auto"/>
      </w:divBdr>
    </w:div>
    <w:div w:id="621420977">
      <w:bodyDiv w:val="1"/>
      <w:marLeft w:val="0"/>
      <w:marRight w:val="0"/>
      <w:marTop w:val="0"/>
      <w:marBottom w:val="0"/>
      <w:divBdr>
        <w:top w:val="none" w:sz="0" w:space="0" w:color="auto"/>
        <w:left w:val="none" w:sz="0" w:space="0" w:color="auto"/>
        <w:bottom w:val="none" w:sz="0" w:space="0" w:color="auto"/>
        <w:right w:val="none" w:sz="0" w:space="0" w:color="auto"/>
      </w:divBdr>
    </w:div>
    <w:div w:id="624772921">
      <w:bodyDiv w:val="1"/>
      <w:marLeft w:val="0"/>
      <w:marRight w:val="0"/>
      <w:marTop w:val="0"/>
      <w:marBottom w:val="0"/>
      <w:divBdr>
        <w:top w:val="none" w:sz="0" w:space="0" w:color="auto"/>
        <w:left w:val="none" w:sz="0" w:space="0" w:color="auto"/>
        <w:bottom w:val="none" w:sz="0" w:space="0" w:color="auto"/>
        <w:right w:val="none" w:sz="0" w:space="0" w:color="auto"/>
      </w:divBdr>
    </w:div>
    <w:div w:id="641622182">
      <w:bodyDiv w:val="1"/>
      <w:marLeft w:val="0"/>
      <w:marRight w:val="0"/>
      <w:marTop w:val="0"/>
      <w:marBottom w:val="0"/>
      <w:divBdr>
        <w:top w:val="none" w:sz="0" w:space="0" w:color="auto"/>
        <w:left w:val="none" w:sz="0" w:space="0" w:color="auto"/>
        <w:bottom w:val="none" w:sz="0" w:space="0" w:color="auto"/>
        <w:right w:val="none" w:sz="0" w:space="0" w:color="auto"/>
      </w:divBdr>
    </w:div>
    <w:div w:id="647519052">
      <w:bodyDiv w:val="1"/>
      <w:marLeft w:val="0"/>
      <w:marRight w:val="0"/>
      <w:marTop w:val="0"/>
      <w:marBottom w:val="0"/>
      <w:divBdr>
        <w:top w:val="none" w:sz="0" w:space="0" w:color="auto"/>
        <w:left w:val="none" w:sz="0" w:space="0" w:color="auto"/>
        <w:bottom w:val="none" w:sz="0" w:space="0" w:color="auto"/>
        <w:right w:val="none" w:sz="0" w:space="0" w:color="auto"/>
      </w:divBdr>
    </w:div>
    <w:div w:id="657996966">
      <w:bodyDiv w:val="1"/>
      <w:marLeft w:val="0"/>
      <w:marRight w:val="0"/>
      <w:marTop w:val="0"/>
      <w:marBottom w:val="0"/>
      <w:divBdr>
        <w:top w:val="none" w:sz="0" w:space="0" w:color="auto"/>
        <w:left w:val="none" w:sz="0" w:space="0" w:color="auto"/>
        <w:bottom w:val="none" w:sz="0" w:space="0" w:color="auto"/>
        <w:right w:val="none" w:sz="0" w:space="0" w:color="auto"/>
      </w:divBdr>
    </w:div>
    <w:div w:id="668020001">
      <w:bodyDiv w:val="1"/>
      <w:marLeft w:val="0"/>
      <w:marRight w:val="0"/>
      <w:marTop w:val="0"/>
      <w:marBottom w:val="0"/>
      <w:divBdr>
        <w:top w:val="none" w:sz="0" w:space="0" w:color="auto"/>
        <w:left w:val="none" w:sz="0" w:space="0" w:color="auto"/>
        <w:bottom w:val="none" w:sz="0" w:space="0" w:color="auto"/>
        <w:right w:val="none" w:sz="0" w:space="0" w:color="auto"/>
      </w:divBdr>
    </w:div>
    <w:div w:id="668676867">
      <w:bodyDiv w:val="1"/>
      <w:marLeft w:val="0"/>
      <w:marRight w:val="0"/>
      <w:marTop w:val="0"/>
      <w:marBottom w:val="0"/>
      <w:divBdr>
        <w:top w:val="none" w:sz="0" w:space="0" w:color="auto"/>
        <w:left w:val="none" w:sz="0" w:space="0" w:color="auto"/>
        <w:bottom w:val="none" w:sz="0" w:space="0" w:color="auto"/>
        <w:right w:val="none" w:sz="0" w:space="0" w:color="auto"/>
      </w:divBdr>
    </w:div>
    <w:div w:id="682367770">
      <w:bodyDiv w:val="1"/>
      <w:marLeft w:val="0"/>
      <w:marRight w:val="0"/>
      <w:marTop w:val="0"/>
      <w:marBottom w:val="0"/>
      <w:divBdr>
        <w:top w:val="none" w:sz="0" w:space="0" w:color="auto"/>
        <w:left w:val="none" w:sz="0" w:space="0" w:color="auto"/>
        <w:bottom w:val="none" w:sz="0" w:space="0" w:color="auto"/>
        <w:right w:val="none" w:sz="0" w:space="0" w:color="auto"/>
      </w:divBdr>
    </w:div>
    <w:div w:id="692539750">
      <w:bodyDiv w:val="1"/>
      <w:marLeft w:val="0"/>
      <w:marRight w:val="0"/>
      <w:marTop w:val="0"/>
      <w:marBottom w:val="0"/>
      <w:divBdr>
        <w:top w:val="none" w:sz="0" w:space="0" w:color="auto"/>
        <w:left w:val="none" w:sz="0" w:space="0" w:color="auto"/>
        <w:bottom w:val="none" w:sz="0" w:space="0" w:color="auto"/>
        <w:right w:val="none" w:sz="0" w:space="0" w:color="auto"/>
      </w:divBdr>
    </w:div>
    <w:div w:id="700278804">
      <w:bodyDiv w:val="1"/>
      <w:marLeft w:val="0"/>
      <w:marRight w:val="0"/>
      <w:marTop w:val="0"/>
      <w:marBottom w:val="0"/>
      <w:divBdr>
        <w:top w:val="none" w:sz="0" w:space="0" w:color="auto"/>
        <w:left w:val="none" w:sz="0" w:space="0" w:color="auto"/>
        <w:bottom w:val="none" w:sz="0" w:space="0" w:color="auto"/>
        <w:right w:val="none" w:sz="0" w:space="0" w:color="auto"/>
      </w:divBdr>
    </w:div>
    <w:div w:id="700784225">
      <w:bodyDiv w:val="1"/>
      <w:marLeft w:val="0"/>
      <w:marRight w:val="0"/>
      <w:marTop w:val="0"/>
      <w:marBottom w:val="0"/>
      <w:divBdr>
        <w:top w:val="none" w:sz="0" w:space="0" w:color="auto"/>
        <w:left w:val="none" w:sz="0" w:space="0" w:color="auto"/>
        <w:bottom w:val="none" w:sz="0" w:space="0" w:color="auto"/>
        <w:right w:val="none" w:sz="0" w:space="0" w:color="auto"/>
      </w:divBdr>
    </w:div>
    <w:div w:id="711803950">
      <w:bodyDiv w:val="1"/>
      <w:marLeft w:val="0"/>
      <w:marRight w:val="0"/>
      <w:marTop w:val="0"/>
      <w:marBottom w:val="0"/>
      <w:divBdr>
        <w:top w:val="none" w:sz="0" w:space="0" w:color="auto"/>
        <w:left w:val="none" w:sz="0" w:space="0" w:color="auto"/>
        <w:bottom w:val="none" w:sz="0" w:space="0" w:color="auto"/>
        <w:right w:val="none" w:sz="0" w:space="0" w:color="auto"/>
      </w:divBdr>
    </w:div>
    <w:div w:id="715129847">
      <w:bodyDiv w:val="1"/>
      <w:marLeft w:val="0"/>
      <w:marRight w:val="0"/>
      <w:marTop w:val="0"/>
      <w:marBottom w:val="0"/>
      <w:divBdr>
        <w:top w:val="none" w:sz="0" w:space="0" w:color="auto"/>
        <w:left w:val="none" w:sz="0" w:space="0" w:color="auto"/>
        <w:bottom w:val="none" w:sz="0" w:space="0" w:color="auto"/>
        <w:right w:val="none" w:sz="0" w:space="0" w:color="auto"/>
      </w:divBdr>
    </w:div>
    <w:div w:id="716205864">
      <w:bodyDiv w:val="1"/>
      <w:marLeft w:val="0"/>
      <w:marRight w:val="0"/>
      <w:marTop w:val="0"/>
      <w:marBottom w:val="0"/>
      <w:divBdr>
        <w:top w:val="none" w:sz="0" w:space="0" w:color="auto"/>
        <w:left w:val="none" w:sz="0" w:space="0" w:color="auto"/>
        <w:bottom w:val="none" w:sz="0" w:space="0" w:color="auto"/>
        <w:right w:val="none" w:sz="0" w:space="0" w:color="auto"/>
      </w:divBdr>
    </w:div>
    <w:div w:id="722405910">
      <w:bodyDiv w:val="1"/>
      <w:marLeft w:val="0"/>
      <w:marRight w:val="0"/>
      <w:marTop w:val="0"/>
      <w:marBottom w:val="0"/>
      <w:divBdr>
        <w:top w:val="none" w:sz="0" w:space="0" w:color="auto"/>
        <w:left w:val="none" w:sz="0" w:space="0" w:color="auto"/>
        <w:bottom w:val="none" w:sz="0" w:space="0" w:color="auto"/>
        <w:right w:val="none" w:sz="0" w:space="0" w:color="auto"/>
      </w:divBdr>
    </w:div>
    <w:div w:id="736785699">
      <w:bodyDiv w:val="1"/>
      <w:marLeft w:val="0"/>
      <w:marRight w:val="0"/>
      <w:marTop w:val="0"/>
      <w:marBottom w:val="0"/>
      <w:divBdr>
        <w:top w:val="none" w:sz="0" w:space="0" w:color="auto"/>
        <w:left w:val="none" w:sz="0" w:space="0" w:color="auto"/>
        <w:bottom w:val="none" w:sz="0" w:space="0" w:color="auto"/>
        <w:right w:val="none" w:sz="0" w:space="0" w:color="auto"/>
      </w:divBdr>
    </w:div>
    <w:div w:id="743768822">
      <w:bodyDiv w:val="1"/>
      <w:marLeft w:val="0"/>
      <w:marRight w:val="0"/>
      <w:marTop w:val="0"/>
      <w:marBottom w:val="0"/>
      <w:divBdr>
        <w:top w:val="none" w:sz="0" w:space="0" w:color="auto"/>
        <w:left w:val="none" w:sz="0" w:space="0" w:color="auto"/>
        <w:bottom w:val="none" w:sz="0" w:space="0" w:color="auto"/>
        <w:right w:val="none" w:sz="0" w:space="0" w:color="auto"/>
      </w:divBdr>
    </w:div>
    <w:div w:id="745034862">
      <w:bodyDiv w:val="1"/>
      <w:marLeft w:val="0"/>
      <w:marRight w:val="0"/>
      <w:marTop w:val="0"/>
      <w:marBottom w:val="0"/>
      <w:divBdr>
        <w:top w:val="none" w:sz="0" w:space="0" w:color="auto"/>
        <w:left w:val="none" w:sz="0" w:space="0" w:color="auto"/>
        <w:bottom w:val="none" w:sz="0" w:space="0" w:color="auto"/>
        <w:right w:val="none" w:sz="0" w:space="0" w:color="auto"/>
      </w:divBdr>
    </w:div>
    <w:div w:id="745492238">
      <w:bodyDiv w:val="1"/>
      <w:marLeft w:val="0"/>
      <w:marRight w:val="0"/>
      <w:marTop w:val="0"/>
      <w:marBottom w:val="0"/>
      <w:divBdr>
        <w:top w:val="none" w:sz="0" w:space="0" w:color="auto"/>
        <w:left w:val="none" w:sz="0" w:space="0" w:color="auto"/>
        <w:bottom w:val="none" w:sz="0" w:space="0" w:color="auto"/>
        <w:right w:val="none" w:sz="0" w:space="0" w:color="auto"/>
      </w:divBdr>
    </w:div>
    <w:div w:id="746655866">
      <w:bodyDiv w:val="1"/>
      <w:marLeft w:val="0"/>
      <w:marRight w:val="0"/>
      <w:marTop w:val="0"/>
      <w:marBottom w:val="0"/>
      <w:divBdr>
        <w:top w:val="none" w:sz="0" w:space="0" w:color="auto"/>
        <w:left w:val="none" w:sz="0" w:space="0" w:color="auto"/>
        <w:bottom w:val="none" w:sz="0" w:space="0" w:color="auto"/>
        <w:right w:val="none" w:sz="0" w:space="0" w:color="auto"/>
      </w:divBdr>
    </w:div>
    <w:div w:id="756252189">
      <w:bodyDiv w:val="1"/>
      <w:marLeft w:val="0"/>
      <w:marRight w:val="0"/>
      <w:marTop w:val="0"/>
      <w:marBottom w:val="0"/>
      <w:divBdr>
        <w:top w:val="none" w:sz="0" w:space="0" w:color="auto"/>
        <w:left w:val="none" w:sz="0" w:space="0" w:color="auto"/>
        <w:bottom w:val="none" w:sz="0" w:space="0" w:color="auto"/>
        <w:right w:val="none" w:sz="0" w:space="0" w:color="auto"/>
      </w:divBdr>
    </w:div>
    <w:div w:id="764543547">
      <w:bodyDiv w:val="1"/>
      <w:marLeft w:val="0"/>
      <w:marRight w:val="0"/>
      <w:marTop w:val="0"/>
      <w:marBottom w:val="0"/>
      <w:divBdr>
        <w:top w:val="none" w:sz="0" w:space="0" w:color="auto"/>
        <w:left w:val="none" w:sz="0" w:space="0" w:color="auto"/>
        <w:bottom w:val="none" w:sz="0" w:space="0" w:color="auto"/>
        <w:right w:val="none" w:sz="0" w:space="0" w:color="auto"/>
      </w:divBdr>
    </w:div>
    <w:div w:id="790245949">
      <w:bodyDiv w:val="1"/>
      <w:marLeft w:val="0"/>
      <w:marRight w:val="0"/>
      <w:marTop w:val="0"/>
      <w:marBottom w:val="0"/>
      <w:divBdr>
        <w:top w:val="none" w:sz="0" w:space="0" w:color="auto"/>
        <w:left w:val="none" w:sz="0" w:space="0" w:color="auto"/>
        <w:bottom w:val="none" w:sz="0" w:space="0" w:color="auto"/>
        <w:right w:val="none" w:sz="0" w:space="0" w:color="auto"/>
      </w:divBdr>
    </w:div>
    <w:div w:id="791024648">
      <w:bodyDiv w:val="1"/>
      <w:marLeft w:val="0"/>
      <w:marRight w:val="0"/>
      <w:marTop w:val="0"/>
      <w:marBottom w:val="0"/>
      <w:divBdr>
        <w:top w:val="none" w:sz="0" w:space="0" w:color="auto"/>
        <w:left w:val="none" w:sz="0" w:space="0" w:color="auto"/>
        <w:bottom w:val="none" w:sz="0" w:space="0" w:color="auto"/>
        <w:right w:val="none" w:sz="0" w:space="0" w:color="auto"/>
      </w:divBdr>
    </w:div>
    <w:div w:id="793445758">
      <w:bodyDiv w:val="1"/>
      <w:marLeft w:val="0"/>
      <w:marRight w:val="0"/>
      <w:marTop w:val="0"/>
      <w:marBottom w:val="0"/>
      <w:divBdr>
        <w:top w:val="none" w:sz="0" w:space="0" w:color="auto"/>
        <w:left w:val="none" w:sz="0" w:space="0" w:color="auto"/>
        <w:bottom w:val="none" w:sz="0" w:space="0" w:color="auto"/>
        <w:right w:val="none" w:sz="0" w:space="0" w:color="auto"/>
      </w:divBdr>
    </w:div>
    <w:div w:id="816845080">
      <w:bodyDiv w:val="1"/>
      <w:marLeft w:val="0"/>
      <w:marRight w:val="0"/>
      <w:marTop w:val="0"/>
      <w:marBottom w:val="0"/>
      <w:divBdr>
        <w:top w:val="none" w:sz="0" w:space="0" w:color="auto"/>
        <w:left w:val="none" w:sz="0" w:space="0" w:color="auto"/>
        <w:bottom w:val="none" w:sz="0" w:space="0" w:color="auto"/>
        <w:right w:val="none" w:sz="0" w:space="0" w:color="auto"/>
      </w:divBdr>
    </w:div>
    <w:div w:id="843595325">
      <w:bodyDiv w:val="1"/>
      <w:marLeft w:val="0"/>
      <w:marRight w:val="0"/>
      <w:marTop w:val="0"/>
      <w:marBottom w:val="0"/>
      <w:divBdr>
        <w:top w:val="none" w:sz="0" w:space="0" w:color="auto"/>
        <w:left w:val="none" w:sz="0" w:space="0" w:color="auto"/>
        <w:bottom w:val="none" w:sz="0" w:space="0" w:color="auto"/>
        <w:right w:val="none" w:sz="0" w:space="0" w:color="auto"/>
      </w:divBdr>
    </w:div>
    <w:div w:id="844636900">
      <w:bodyDiv w:val="1"/>
      <w:marLeft w:val="0"/>
      <w:marRight w:val="0"/>
      <w:marTop w:val="0"/>
      <w:marBottom w:val="0"/>
      <w:divBdr>
        <w:top w:val="none" w:sz="0" w:space="0" w:color="auto"/>
        <w:left w:val="none" w:sz="0" w:space="0" w:color="auto"/>
        <w:bottom w:val="none" w:sz="0" w:space="0" w:color="auto"/>
        <w:right w:val="none" w:sz="0" w:space="0" w:color="auto"/>
      </w:divBdr>
    </w:div>
    <w:div w:id="863056846">
      <w:bodyDiv w:val="1"/>
      <w:marLeft w:val="0"/>
      <w:marRight w:val="0"/>
      <w:marTop w:val="0"/>
      <w:marBottom w:val="0"/>
      <w:divBdr>
        <w:top w:val="none" w:sz="0" w:space="0" w:color="auto"/>
        <w:left w:val="none" w:sz="0" w:space="0" w:color="auto"/>
        <w:bottom w:val="none" w:sz="0" w:space="0" w:color="auto"/>
        <w:right w:val="none" w:sz="0" w:space="0" w:color="auto"/>
      </w:divBdr>
    </w:div>
    <w:div w:id="865676975">
      <w:bodyDiv w:val="1"/>
      <w:marLeft w:val="0"/>
      <w:marRight w:val="0"/>
      <w:marTop w:val="0"/>
      <w:marBottom w:val="0"/>
      <w:divBdr>
        <w:top w:val="none" w:sz="0" w:space="0" w:color="auto"/>
        <w:left w:val="none" w:sz="0" w:space="0" w:color="auto"/>
        <w:bottom w:val="none" w:sz="0" w:space="0" w:color="auto"/>
        <w:right w:val="none" w:sz="0" w:space="0" w:color="auto"/>
      </w:divBdr>
    </w:div>
    <w:div w:id="889266862">
      <w:bodyDiv w:val="1"/>
      <w:marLeft w:val="0"/>
      <w:marRight w:val="0"/>
      <w:marTop w:val="0"/>
      <w:marBottom w:val="0"/>
      <w:divBdr>
        <w:top w:val="none" w:sz="0" w:space="0" w:color="auto"/>
        <w:left w:val="none" w:sz="0" w:space="0" w:color="auto"/>
        <w:bottom w:val="none" w:sz="0" w:space="0" w:color="auto"/>
        <w:right w:val="none" w:sz="0" w:space="0" w:color="auto"/>
      </w:divBdr>
    </w:div>
    <w:div w:id="926353416">
      <w:bodyDiv w:val="1"/>
      <w:marLeft w:val="0"/>
      <w:marRight w:val="0"/>
      <w:marTop w:val="0"/>
      <w:marBottom w:val="0"/>
      <w:divBdr>
        <w:top w:val="none" w:sz="0" w:space="0" w:color="auto"/>
        <w:left w:val="none" w:sz="0" w:space="0" w:color="auto"/>
        <w:bottom w:val="none" w:sz="0" w:space="0" w:color="auto"/>
        <w:right w:val="none" w:sz="0" w:space="0" w:color="auto"/>
      </w:divBdr>
    </w:div>
    <w:div w:id="939490743">
      <w:bodyDiv w:val="1"/>
      <w:marLeft w:val="0"/>
      <w:marRight w:val="0"/>
      <w:marTop w:val="0"/>
      <w:marBottom w:val="0"/>
      <w:divBdr>
        <w:top w:val="none" w:sz="0" w:space="0" w:color="auto"/>
        <w:left w:val="none" w:sz="0" w:space="0" w:color="auto"/>
        <w:bottom w:val="none" w:sz="0" w:space="0" w:color="auto"/>
        <w:right w:val="none" w:sz="0" w:space="0" w:color="auto"/>
      </w:divBdr>
    </w:div>
    <w:div w:id="949363918">
      <w:bodyDiv w:val="1"/>
      <w:marLeft w:val="0"/>
      <w:marRight w:val="0"/>
      <w:marTop w:val="0"/>
      <w:marBottom w:val="0"/>
      <w:divBdr>
        <w:top w:val="none" w:sz="0" w:space="0" w:color="auto"/>
        <w:left w:val="none" w:sz="0" w:space="0" w:color="auto"/>
        <w:bottom w:val="none" w:sz="0" w:space="0" w:color="auto"/>
        <w:right w:val="none" w:sz="0" w:space="0" w:color="auto"/>
      </w:divBdr>
    </w:div>
    <w:div w:id="952400746">
      <w:bodyDiv w:val="1"/>
      <w:marLeft w:val="0"/>
      <w:marRight w:val="0"/>
      <w:marTop w:val="0"/>
      <w:marBottom w:val="0"/>
      <w:divBdr>
        <w:top w:val="none" w:sz="0" w:space="0" w:color="auto"/>
        <w:left w:val="none" w:sz="0" w:space="0" w:color="auto"/>
        <w:bottom w:val="none" w:sz="0" w:space="0" w:color="auto"/>
        <w:right w:val="none" w:sz="0" w:space="0" w:color="auto"/>
      </w:divBdr>
    </w:div>
    <w:div w:id="954101006">
      <w:bodyDiv w:val="1"/>
      <w:marLeft w:val="0"/>
      <w:marRight w:val="0"/>
      <w:marTop w:val="0"/>
      <w:marBottom w:val="0"/>
      <w:divBdr>
        <w:top w:val="none" w:sz="0" w:space="0" w:color="auto"/>
        <w:left w:val="none" w:sz="0" w:space="0" w:color="auto"/>
        <w:bottom w:val="none" w:sz="0" w:space="0" w:color="auto"/>
        <w:right w:val="none" w:sz="0" w:space="0" w:color="auto"/>
      </w:divBdr>
    </w:div>
    <w:div w:id="969938708">
      <w:bodyDiv w:val="1"/>
      <w:marLeft w:val="0"/>
      <w:marRight w:val="0"/>
      <w:marTop w:val="0"/>
      <w:marBottom w:val="0"/>
      <w:divBdr>
        <w:top w:val="none" w:sz="0" w:space="0" w:color="auto"/>
        <w:left w:val="none" w:sz="0" w:space="0" w:color="auto"/>
        <w:bottom w:val="none" w:sz="0" w:space="0" w:color="auto"/>
        <w:right w:val="none" w:sz="0" w:space="0" w:color="auto"/>
      </w:divBdr>
    </w:div>
    <w:div w:id="993527564">
      <w:bodyDiv w:val="1"/>
      <w:marLeft w:val="0"/>
      <w:marRight w:val="0"/>
      <w:marTop w:val="0"/>
      <w:marBottom w:val="0"/>
      <w:divBdr>
        <w:top w:val="none" w:sz="0" w:space="0" w:color="auto"/>
        <w:left w:val="none" w:sz="0" w:space="0" w:color="auto"/>
        <w:bottom w:val="none" w:sz="0" w:space="0" w:color="auto"/>
        <w:right w:val="none" w:sz="0" w:space="0" w:color="auto"/>
      </w:divBdr>
    </w:div>
    <w:div w:id="1007707179">
      <w:bodyDiv w:val="1"/>
      <w:marLeft w:val="0"/>
      <w:marRight w:val="0"/>
      <w:marTop w:val="0"/>
      <w:marBottom w:val="0"/>
      <w:divBdr>
        <w:top w:val="none" w:sz="0" w:space="0" w:color="auto"/>
        <w:left w:val="none" w:sz="0" w:space="0" w:color="auto"/>
        <w:bottom w:val="none" w:sz="0" w:space="0" w:color="auto"/>
        <w:right w:val="none" w:sz="0" w:space="0" w:color="auto"/>
      </w:divBdr>
    </w:div>
    <w:div w:id="1010988785">
      <w:bodyDiv w:val="1"/>
      <w:marLeft w:val="0"/>
      <w:marRight w:val="0"/>
      <w:marTop w:val="0"/>
      <w:marBottom w:val="0"/>
      <w:divBdr>
        <w:top w:val="none" w:sz="0" w:space="0" w:color="auto"/>
        <w:left w:val="none" w:sz="0" w:space="0" w:color="auto"/>
        <w:bottom w:val="none" w:sz="0" w:space="0" w:color="auto"/>
        <w:right w:val="none" w:sz="0" w:space="0" w:color="auto"/>
      </w:divBdr>
    </w:div>
    <w:div w:id="1012807028">
      <w:bodyDiv w:val="1"/>
      <w:marLeft w:val="0"/>
      <w:marRight w:val="0"/>
      <w:marTop w:val="0"/>
      <w:marBottom w:val="0"/>
      <w:divBdr>
        <w:top w:val="none" w:sz="0" w:space="0" w:color="auto"/>
        <w:left w:val="none" w:sz="0" w:space="0" w:color="auto"/>
        <w:bottom w:val="none" w:sz="0" w:space="0" w:color="auto"/>
        <w:right w:val="none" w:sz="0" w:space="0" w:color="auto"/>
      </w:divBdr>
    </w:div>
    <w:div w:id="1019889821">
      <w:bodyDiv w:val="1"/>
      <w:marLeft w:val="0"/>
      <w:marRight w:val="0"/>
      <w:marTop w:val="0"/>
      <w:marBottom w:val="0"/>
      <w:divBdr>
        <w:top w:val="none" w:sz="0" w:space="0" w:color="auto"/>
        <w:left w:val="none" w:sz="0" w:space="0" w:color="auto"/>
        <w:bottom w:val="none" w:sz="0" w:space="0" w:color="auto"/>
        <w:right w:val="none" w:sz="0" w:space="0" w:color="auto"/>
      </w:divBdr>
      <w:divsChild>
        <w:div w:id="128983474">
          <w:marLeft w:val="0"/>
          <w:marRight w:val="0"/>
          <w:marTop w:val="0"/>
          <w:marBottom w:val="0"/>
          <w:divBdr>
            <w:top w:val="none" w:sz="0" w:space="0" w:color="auto"/>
            <w:left w:val="none" w:sz="0" w:space="0" w:color="auto"/>
            <w:bottom w:val="none" w:sz="0" w:space="0" w:color="auto"/>
            <w:right w:val="none" w:sz="0" w:space="0" w:color="auto"/>
          </w:divBdr>
          <w:divsChild>
            <w:div w:id="391317077">
              <w:marLeft w:val="0"/>
              <w:marRight w:val="0"/>
              <w:marTop w:val="0"/>
              <w:marBottom w:val="0"/>
              <w:divBdr>
                <w:top w:val="none" w:sz="0" w:space="0" w:color="auto"/>
                <w:left w:val="none" w:sz="0" w:space="0" w:color="auto"/>
                <w:bottom w:val="none" w:sz="0" w:space="0" w:color="auto"/>
                <w:right w:val="none" w:sz="0" w:space="0" w:color="auto"/>
              </w:divBdr>
              <w:divsChild>
                <w:div w:id="1974826510">
                  <w:marLeft w:val="0"/>
                  <w:marRight w:val="0"/>
                  <w:marTop w:val="0"/>
                  <w:marBottom w:val="0"/>
                  <w:divBdr>
                    <w:top w:val="none" w:sz="0" w:space="0" w:color="auto"/>
                    <w:left w:val="none" w:sz="0" w:space="0" w:color="auto"/>
                    <w:bottom w:val="none" w:sz="0" w:space="0" w:color="auto"/>
                    <w:right w:val="none" w:sz="0" w:space="0" w:color="auto"/>
                  </w:divBdr>
                  <w:divsChild>
                    <w:div w:id="1075739056">
                      <w:marLeft w:val="0"/>
                      <w:marRight w:val="0"/>
                      <w:marTop w:val="0"/>
                      <w:marBottom w:val="0"/>
                      <w:divBdr>
                        <w:top w:val="none" w:sz="0" w:space="0" w:color="auto"/>
                        <w:left w:val="none" w:sz="0" w:space="0" w:color="auto"/>
                        <w:bottom w:val="none" w:sz="0" w:space="0" w:color="auto"/>
                        <w:right w:val="none" w:sz="0" w:space="0" w:color="auto"/>
                      </w:divBdr>
                      <w:divsChild>
                        <w:div w:id="514614344">
                          <w:marLeft w:val="-225"/>
                          <w:marRight w:val="-225"/>
                          <w:marTop w:val="0"/>
                          <w:marBottom w:val="0"/>
                          <w:divBdr>
                            <w:top w:val="none" w:sz="0" w:space="0" w:color="auto"/>
                            <w:left w:val="none" w:sz="0" w:space="0" w:color="auto"/>
                            <w:bottom w:val="none" w:sz="0" w:space="0" w:color="auto"/>
                            <w:right w:val="none" w:sz="0" w:space="0" w:color="auto"/>
                          </w:divBdr>
                          <w:divsChild>
                            <w:div w:id="6717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738621">
      <w:bodyDiv w:val="1"/>
      <w:marLeft w:val="0"/>
      <w:marRight w:val="0"/>
      <w:marTop w:val="0"/>
      <w:marBottom w:val="0"/>
      <w:divBdr>
        <w:top w:val="none" w:sz="0" w:space="0" w:color="auto"/>
        <w:left w:val="none" w:sz="0" w:space="0" w:color="auto"/>
        <w:bottom w:val="none" w:sz="0" w:space="0" w:color="auto"/>
        <w:right w:val="none" w:sz="0" w:space="0" w:color="auto"/>
      </w:divBdr>
    </w:div>
    <w:div w:id="1051269146">
      <w:bodyDiv w:val="1"/>
      <w:marLeft w:val="0"/>
      <w:marRight w:val="0"/>
      <w:marTop w:val="0"/>
      <w:marBottom w:val="0"/>
      <w:divBdr>
        <w:top w:val="none" w:sz="0" w:space="0" w:color="auto"/>
        <w:left w:val="none" w:sz="0" w:space="0" w:color="auto"/>
        <w:bottom w:val="none" w:sz="0" w:space="0" w:color="auto"/>
        <w:right w:val="none" w:sz="0" w:space="0" w:color="auto"/>
      </w:divBdr>
    </w:div>
    <w:div w:id="1056584168">
      <w:bodyDiv w:val="1"/>
      <w:marLeft w:val="0"/>
      <w:marRight w:val="0"/>
      <w:marTop w:val="0"/>
      <w:marBottom w:val="0"/>
      <w:divBdr>
        <w:top w:val="none" w:sz="0" w:space="0" w:color="auto"/>
        <w:left w:val="none" w:sz="0" w:space="0" w:color="auto"/>
        <w:bottom w:val="none" w:sz="0" w:space="0" w:color="auto"/>
        <w:right w:val="none" w:sz="0" w:space="0" w:color="auto"/>
      </w:divBdr>
    </w:div>
    <w:div w:id="1059552832">
      <w:bodyDiv w:val="1"/>
      <w:marLeft w:val="0"/>
      <w:marRight w:val="0"/>
      <w:marTop w:val="0"/>
      <w:marBottom w:val="0"/>
      <w:divBdr>
        <w:top w:val="none" w:sz="0" w:space="0" w:color="auto"/>
        <w:left w:val="none" w:sz="0" w:space="0" w:color="auto"/>
        <w:bottom w:val="none" w:sz="0" w:space="0" w:color="auto"/>
        <w:right w:val="none" w:sz="0" w:space="0" w:color="auto"/>
      </w:divBdr>
    </w:div>
    <w:div w:id="1072584874">
      <w:bodyDiv w:val="1"/>
      <w:marLeft w:val="0"/>
      <w:marRight w:val="0"/>
      <w:marTop w:val="0"/>
      <w:marBottom w:val="0"/>
      <w:divBdr>
        <w:top w:val="none" w:sz="0" w:space="0" w:color="auto"/>
        <w:left w:val="none" w:sz="0" w:space="0" w:color="auto"/>
        <w:bottom w:val="none" w:sz="0" w:space="0" w:color="auto"/>
        <w:right w:val="none" w:sz="0" w:space="0" w:color="auto"/>
      </w:divBdr>
    </w:div>
    <w:div w:id="1073311068">
      <w:bodyDiv w:val="1"/>
      <w:marLeft w:val="0"/>
      <w:marRight w:val="0"/>
      <w:marTop w:val="0"/>
      <w:marBottom w:val="0"/>
      <w:divBdr>
        <w:top w:val="none" w:sz="0" w:space="0" w:color="auto"/>
        <w:left w:val="none" w:sz="0" w:space="0" w:color="auto"/>
        <w:bottom w:val="none" w:sz="0" w:space="0" w:color="auto"/>
        <w:right w:val="none" w:sz="0" w:space="0" w:color="auto"/>
      </w:divBdr>
    </w:div>
    <w:div w:id="1080099530">
      <w:bodyDiv w:val="1"/>
      <w:marLeft w:val="0"/>
      <w:marRight w:val="0"/>
      <w:marTop w:val="0"/>
      <w:marBottom w:val="0"/>
      <w:divBdr>
        <w:top w:val="none" w:sz="0" w:space="0" w:color="auto"/>
        <w:left w:val="none" w:sz="0" w:space="0" w:color="auto"/>
        <w:bottom w:val="none" w:sz="0" w:space="0" w:color="auto"/>
        <w:right w:val="none" w:sz="0" w:space="0" w:color="auto"/>
      </w:divBdr>
    </w:div>
    <w:div w:id="1080560519">
      <w:bodyDiv w:val="1"/>
      <w:marLeft w:val="0"/>
      <w:marRight w:val="0"/>
      <w:marTop w:val="0"/>
      <w:marBottom w:val="0"/>
      <w:divBdr>
        <w:top w:val="none" w:sz="0" w:space="0" w:color="auto"/>
        <w:left w:val="none" w:sz="0" w:space="0" w:color="auto"/>
        <w:bottom w:val="none" w:sz="0" w:space="0" w:color="auto"/>
        <w:right w:val="none" w:sz="0" w:space="0" w:color="auto"/>
      </w:divBdr>
    </w:div>
    <w:div w:id="1101532464">
      <w:bodyDiv w:val="1"/>
      <w:marLeft w:val="0"/>
      <w:marRight w:val="0"/>
      <w:marTop w:val="0"/>
      <w:marBottom w:val="0"/>
      <w:divBdr>
        <w:top w:val="none" w:sz="0" w:space="0" w:color="auto"/>
        <w:left w:val="none" w:sz="0" w:space="0" w:color="auto"/>
        <w:bottom w:val="none" w:sz="0" w:space="0" w:color="auto"/>
        <w:right w:val="none" w:sz="0" w:space="0" w:color="auto"/>
      </w:divBdr>
    </w:div>
    <w:div w:id="1115978715">
      <w:bodyDiv w:val="1"/>
      <w:marLeft w:val="0"/>
      <w:marRight w:val="0"/>
      <w:marTop w:val="0"/>
      <w:marBottom w:val="0"/>
      <w:divBdr>
        <w:top w:val="none" w:sz="0" w:space="0" w:color="auto"/>
        <w:left w:val="none" w:sz="0" w:space="0" w:color="auto"/>
        <w:bottom w:val="none" w:sz="0" w:space="0" w:color="auto"/>
        <w:right w:val="none" w:sz="0" w:space="0" w:color="auto"/>
      </w:divBdr>
    </w:div>
    <w:div w:id="1128623506">
      <w:bodyDiv w:val="1"/>
      <w:marLeft w:val="0"/>
      <w:marRight w:val="0"/>
      <w:marTop w:val="0"/>
      <w:marBottom w:val="0"/>
      <w:divBdr>
        <w:top w:val="none" w:sz="0" w:space="0" w:color="auto"/>
        <w:left w:val="none" w:sz="0" w:space="0" w:color="auto"/>
        <w:bottom w:val="none" w:sz="0" w:space="0" w:color="auto"/>
        <w:right w:val="none" w:sz="0" w:space="0" w:color="auto"/>
      </w:divBdr>
      <w:divsChild>
        <w:div w:id="1655064055">
          <w:marLeft w:val="187"/>
          <w:marRight w:val="0"/>
          <w:marTop w:val="0"/>
          <w:marBottom w:val="0"/>
          <w:divBdr>
            <w:top w:val="none" w:sz="0" w:space="0" w:color="auto"/>
            <w:left w:val="none" w:sz="0" w:space="0" w:color="auto"/>
            <w:bottom w:val="none" w:sz="0" w:space="0" w:color="auto"/>
            <w:right w:val="none" w:sz="0" w:space="0" w:color="auto"/>
          </w:divBdr>
        </w:div>
      </w:divsChild>
    </w:div>
    <w:div w:id="1146315385">
      <w:bodyDiv w:val="1"/>
      <w:marLeft w:val="0"/>
      <w:marRight w:val="0"/>
      <w:marTop w:val="0"/>
      <w:marBottom w:val="0"/>
      <w:divBdr>
        <w:top w:val="none" w:sz="0" w:space="0" w:color="auto"/>
        <w:left w:val="none" w:sz="0" w:space="0" w:color="auto"/>
        <w:bottom w:val="none" w:sz="0" w:space="0" w:color="auto"/>
        <w:right w:val="none" w:sz="0" w:space="0" w:color="auto"/>
      </w:divBdr>
    </w:div>
    <w:div w:id="1166631672">
      <w:bodyDiv w:val="1"/>
      <w:marLeft w:val="0"/>
      <w:marRight w:val="0"/>
      <w:marTop w:val="0"/>
      <w:marBottom w:val="0"/>
      <w:divBdr>
        <w:top w:val="none" w:sz="0" w:space="0" w:color="auto"/>
        <w:left w:val="none" w:sz="0" w:space="0" w:color="auto"/>
        <w:bottom w:val="none" w:sz="0" w:space="0" w:color="auto"/>
        <w:right w:val="none" w:sz="0" w:space="0" w:color="auto"/>
      </w:divBdr>
    </w:div>
    <w:div w:id="1192450328">
      <w:bodyDiv w:val="1"/>
      <w:marLeft w:val="0"/>
      <w:marRight w:val="0"/>
      <w:marTop w:val="0"/>
      <w:marBottom w:val="0"/>
      <w:divBdr>
        <w:top w:val="none" w:sz="0" w:space="0" w:color="auto"/>
        <w:left w:val="none" w:sz="0" w:space="0" w:color="auto"/>
        <w:bottom w:val="none" w:sz="0" w:space="0" w:color="auto"/>
        <w:right w:val="none" w:sz="0" w:space="0" w:color="auto"/>
      </w:divBdr>
    </w:div>
    <w:div w:id="1209610371">
      <w:bodyDiv w:val="1"/>
      <w:marLeft w:val="0"/>
      <w:marRight w:val="0"/>
      <w:marTop w:val="0"/>
      <w:marBottom w:val="0"/>
      <w:divBdr>
        <w:top w:val="none" w:sz="0" w:space="0" w:color="auto"/>
        <w:left w:val="none" w:sz="0" w:space="0" w:color="auto"/>
        <w:bottom w:val="none" w:sz="0" w:space="0" w:color="auto"/>
        <w:right w:val="none" w:sz="0" w:space="0" w:color="auto"/>
      </w:divBdr>
    </w:div>
    <w:div w:id="1266383590">
      <w:bodyDiv w:val="1"/>
      <w:marLeft w:val="0"/>
      <w:marRight w:val="0"/>
      <w:marTop w:val="0"/>
      <w:marBottom w:val="0"/>
      <w:divBdr>
        <w:top w:val="none" w:sz="0" w:space="0" w:color="auto"/>
        <w:left w:val="none" w:sz="0" w:space="0" w:color="auto"/>
        <w:bottom w:val="none" w:sz="0" w:space="0" w:color="auto"/>
        <w:right w:val="none" w:sz="0" w:space="0" w:color="auto"/>
      </w:divBdr>
    </w:div>
    <w:div w:id="1267888242">
      <w:bodyDiv w:val="1"/>
      <w:marLeft w:val="0"/>
      <w:marRight w:val="0"/>
      <w:marTop w:val="0"/>
      <w:marBottom w:val="0"/>
      <w:divBdr>
        <w:top w:val="none" w:sz="0" w:space="0" w:color="auto"/>
        <w:left w:val="none" w:sz="0" w:space="0" w:color="auto"/>
        <w:bottom w:val="none" w:sz="0" w:space="0" w:color="auto"/>
        <w:right w:val="none" w:sz="0" w:space="0" w:color="auto"/>
      </w:divBdr>
    </w:div>
    <w:div w:id="1271081631">
      <w:bodyDiv w:val="1"/>
      <w:marLeft w:val="0"/>
      <w:marRight w:val="0"/>
      <w:marTop w:val="0"/>
      <w:marBottom w:val="0"/>
      <w:divBdr>
        <w:top w:val="none" w:sz="0" w:space="0" w:color="auto"/>
        <w:left w:val="none" w:sz="0" w:space="0" w:color="auto"/>
        <w:bottom w:val="none" w:sz="0" w:space="0" w:color="auto"/>
        <w:right w:val="none" w:sz="0" w:space="0" w:color="auto"/>
      </w:divBdr>
    </w:div>
    <w:div w:id="1283800416">
      <w:bodyDiv w:val="1"/>
      <w:marLeft w:val="0"/>
      <w:marRight w:val="0"/>
      <w:marTop w:val="0"/>
      <w:marBottom w:val="0"/>
      <w:divBdr>
        <w:top w:val="none" w:sz="0" w:space="0" w:color="auto"/>
        <w:left w:val="none" w:sz="0" w:space="0" w:color="auto"/>
        <w:bottom w:val="none" w:sz="0" w:space="0" w:color="auto"/>
        <w:right w:val="none" w:sz="0" w:space="0" w:color="auto"/>
      </w:divBdr>
    </w:div>
    <w:div w:id="1291285968">
      <w:bodyDiv w:val="1"/>
      <w:marLeft w:val="0"/>
      <w:marRight w:val="0"/>
      <w:marTop w:val="0"/>
      <w:marBottom w:val="0"/>
      <w:divBdr>
        <w:top w:val="none" w:sz="0" w:space="0" w:color="auto"/>
        <w:left w:val="none" w:sz="0" w:space="0" w:color="auto"/>
        <w:bottom w:val="none" w:sz="0" w:space="0" w:color="auto"/>
        <w:right w:val="none" w:sz="0" w:space="0" w:color="auto"/>
      </w:divBdr>
    </w:div>
    <w:div w:id="1306199116">
      <w:bodyDiv w:val="1"/>
      <w:marLeft w:val="0"/>
      <w:marRight w:val="0"/>
      <w:marTop w:val="0"/>
      <w:marBottom w:val="0"/>
      <w:divBdr>
        <w:top w:val="none" w:sz="0" w:space="0" w:color="auto"/>
        <w:left w:val="none" w:sz="0" w:space="0" w:color="auto"/>
        <w:bottom w:val="none" w:sz="0" w:space="0" w:color="auto"/>
        <w:right w:val="none" w:sz="0" w:space="0" w:color="auto"/>
      </w:divBdr>
    </w:div>
    <w:div w:id="1307975114">
      <w:bodyDiv w:val="1"/>
      <w:marLeft w:val="0"/>
      <w:marRight w:val="0"/>
      <w:marTop w:val="0"/>
      <w:marBottom w:val="0"/>
      <w:divBdr>
        <w:top w:val="none" w:sz="0" w:space="0" w:color="auto"/>
        <w:left w:val="none" w:sz="0" w:space="0" w:color="auto"/>
        <w:bottom w:val="none" w:sz="0" w:space="0" w:color="auto"/>
        <w:right w:val="none" w:sz="0" w:space="0" w:color="auto"/>
      </w:divBdr>
    </w:div>
    <w:div w:id="1312099704">
      <w:bodyDiv w:val="1"/>
      <w:marLeft w:val="0"/>
      <w:marRight w:val="0"/>
      <w:marTop w:val="0"/>
      <w:marBottom w:val="0"/>
      <w:divBdr>
        <w:top w:val="none" w:sz="0" w:space="0" w:color="auto"/>
        <w:left w:val="none" w:sz="0" w:space="0" w:color="auto"/>
        <w:bottom w:val="none" w:sz="0" w:space="0" w:color="auto"/>
        <w:right w:val="none" w:sz="0" w:space="0" w:color="auto"/>
      </w:divBdr>
    </w:div>
    <w:div w:id="1342708518">
      <w:bodyDiv w:val="1"/>
      <w:marLeft w:val="0"/>
      <w:marRight w:val="0"/>
      <w:marTop w:val="0"/>
      <w:marBottom w:val="0"/>
      <w:divBdr>
        <w:top w:val="none" w:sz="0" w:space="0" w:color="auto"/>
        <w:left w:val="none" w:sz="0" w:space="0" w:color="auto"/>
        <w:bottom w:val="none" w:sz="0" w:space="0" w:color="auto"/>
        <w:right w:val="none" w:sz="0" w:space="0" w:color="auto"/>
      </w:divBdr>
    </w:div>
    <w:div w:id="1347485725">
      <w:bodyDiv w:val="1"/>
      <w:marLeft w:val="0"/>
      <w:marRight w:val="0"/>
      <w:marTop w:val="0"/>
      <w:marBottom w:val="0"/>
      <w:divBdr>
        <w:top w:val="none" w:sz="0" w:space="0" w:color="auto"/>
        <w:left w:val="none" w:sz="0" w:space="0" w:color="auto"/>
        <w:bottom w:val="none" w:sz="0" w:space="0" w:color="auto"/>
        <w:right w:val="none" w:sz="0" w:space="0" w:color="auto"/>
      </w:divBdr>
    </w:div>
    <w:div w:id="1352029361">
      <w:bodyDiv w:val="1"/>
      <w:marLeft w:val="0"/>
      <w:marRight w:val="0"/>
      <w:marTop w:val="0"/>
      <w:marBottom w:val="0"/>
      <w:divBdr>
        <w:top w:val="none" w:sz="0" w:space="0" w:color="auto"/>
        <w:left w:val="none" w:sz="0" w:space="0" w:color="auto"/>
        <w:bottom w:val="none" w:sz="0" w:space="0" w:color="auto"/>
        <w:right w:val="none" w:sz="0" w:space="0" w:color="auto"/>
      </w:divBdr>
    </w:div>
    <w:div w:id="1357004237">
      <w:bodyDiv w:val="1"/>
      <w:marLeft w:val="0"/>
      <w:marRight w:val="0"/>
      <w:marTop w:val="0"/>
      <w:marBottom w:val="0"/>
      <w:divBdr>
        <w:top w:val="none" w:sz="0" w:space="0" w:color="auto"/>
        <w:left w:val="none" w:sz="0" w:space="0" w:color="auto"/>
        <w:bottom w:val="none" w:sz="0" w:space="0" w:color="auto"/>
        <w:right w:val="none" w:sz="0" w:space="0" w:color="auto"/>
      </w:divBdr>
    </w:div>
    <w:div w:id="1359160785">
      <w:bodyDiv w:val="1"/>
      <w:marLeft w:val="0"/>
      <w:marRight w:val="0"/>
      <w:marTop w:val="0"/>
      <w:marBottom w:val="0"/>
      <w:divBdr>
        <w:top w:val="none" w:sz="0" w:space="0" w:color="auto"/>
        <w:left w:val="none" w:sz="0" w:space="0" w:color="auto"/>
        <w:bottom w:val="none" w:sz="0" w:space="0" w:color="auto"/>
        <w:right w:val="none" w:sz="0" w:space="0" w:color="auto"/>
      </w:divBdr>
    </w:div>
    <w:div w:id="1362823392">
      <w:bodyDiv w:val="1"/>
      <w:marLeft w:val="0"/>
      <w:marRight w:val="0"/>
      <w:marTop w:val="0"/>
      <w:marBottom w:val="0"/>
      <w:divBdr>
        <w:top w:val="none" w:sz="0" w:space="0" w:color="auto"/>
        <w:left w:val="none" w:sz="0" w:space="0" w:color="auto"/>
        <w:bottom w:val="none" w:sz="0" w:space="0" w:color="auto"/>
        <w:right w:val="none" w:sz="0" w:space="0" w:color="auto"/>
      </w:divBdr>
    </w:div>
    <w:div w:id="1418552293">
      <w:bodyDiv w:val="1"/>
      <w:marLeft w:val="0"/>
      <w:marRight w:val="0"/>
      <w:marTop w:val="0"/>
      <w:marBottom w:val="0"/>
      <w:divBdr>
        <w:top w:val="none" w:sz="0" w:space="0" w:color="auto"/>
        <w:left w:val="none" w:sz="0" w:space="0" w:color="auto"/>
        <w:bottom w:val="none" w:sz="0" w:space="0" w:color="auto"/>
        <w:right w:val="none" w:sz="0" w:space="0" w:color="auto"/>
      </w:divBdr>
    </w:div>
    <w:div w:id="1451120167">
      <w:bodyDiv w:val="1"/>
      <w:marLeft w:val="0"/>
      <w:marRight w:val="0"/>
      <w:marTop w:val="0"/>
      <w:marBottom w:val="0"/>
      <w:divBdr>
        <w:top w:val="none" w:sz="0" w:space="0" w:color="auto"/>
        <w:left w:val="none" w:sz="0" w:space="0" w:color="auto"/>
        <w:bottom w:val="none" w:sz="0" w:space="0" w:color="auto"/>
        <w:right w:val="none" w:sz="0" w:space="0" w:color="auto"/>
      </w:divBdr>
    </w:div>
    <w:div w:id="1464470644">
      <w:bodyDiv w:val="1"/>
      <w:marLeft w:val="0"/>
      <w:marRight w:val="0"/>
      <w:marTop w:val="0"/>
      <w:marBottom w:val="0"/>
      <w:divBdr>
        <w:top w:val="none" w:sz="0" w:space="0" w:color="auto"/>
        <w:left w:val="none" w:sz="0" w:space="0" w:color="auto"/>
        <w:bottom w:val="none" w:sz="0" w:space="0" w:color="auto"/>
        <w:right w:val="none" w:sz="0" w:space="0" w:color="auto"/>
      </w:divBdr>
    </w:div>
    <w:div w:id="1468083287">
      <w:bodyDiv w:val="1"/>
      <w:marLeft w:val="0"/>
      <w:marRight w:val="0"/>
      <w:marTop w:val="0"/>
      <w:marBottom w:val="0"/>
      <w:divBdr>
        <w:top w:val="none" w:sz="0" w:space="0" w:color="auto"/>
        <w:left w:val="none" w:sz="0" w:space="0" w:color="auto"/>
        <w:bottom w:val="none" w:sz="0" w:space="0" w:color="auto"/>
        <w:right w:val="none" w:sz="0" w:space="0" w:color="auto"/>
      </w:divBdr>
    </w:div>
    <w:div w:id="1493450437">
      <w:bodyDiv w:val="1"/>
      <w:marLeft w:val="0"/>
      <w:marRight w:val="0"/>
      <w:marTop w:val="0"/>
      <w:marBottom w:val="0"/>
      <w:divBdr>
        <w:top w:val="none" w:sz="0" w:space="0" w:color="auto"/>
        <w:left w:val="none" w:sz="0" w:space="0" w:color="auto"/>
        <w:bottom w:val="none" w:sz="0" w:space="0" w:color="auto"/>
        <w:right w:val="none" w:sz="0" w:space="0" w:color="auto"/>
      </w:divBdr>
    </w:div>
    <w:div w:id="1494443704">
      <w:bodyDiv w:val="1"/>
      <w:marLeft w:val="0"/>
      <w:marRight w:val="0"/>
      <w:marTop w:val="0"/>
      <w:marBottom w:val="0"/>
      <w:divBdr>
        <w:top w:val="none" w:sz="0" w:space="0" w:color="auto"/>
        <w:left w:val="none" w:sz="0" w:space="0" w:color="auto"/>
        <w:bottom w:val="none" w:sz="0" w:space="0" w:color="auto"/>
        <w:right w:val="none" w:sz="0" w:space="0" w:color="auto"/>
      </w:divBdr>
    </w:div>
    <w:div w:id="1500736164">
      <w:bodyDiv w:val="1"/>
      <w:marLeft w:val="0"/>
      <w:marRight w:val="0"/>
      <w:marTop w:val="0"/>
      <w:marBottom w:val="0"/>
      <w:divBdr>
        <w:top w:val="none" w:sz="0" w:space="0" w:color="auto"/>
        <w:left w:val="none" w:sz="0" w:space="0" w:color="auto"/>
        <w:bottom w:val="none" w:sz="0" w:space="0" w:color="auto"/>
        <w:right w:val="none" w:sz="0" w:space="0" w:color="auto"/>
      </w:divBdr>
    </w:div>
    <w:div w:id="1519393928">
      <w:bodyDiv w:val="1"/>
      <w:marLeft w:val="0"/>
      <w:marRight w:val="0"/>
      <w:marTop w:val="0"/>
      <w:marBottom w:val="0"/>
      <w:divBdr>
        <w:top w:val="none" w:sz="0" w:space="0" w:color="auto"/>
        <w:left w:val="none" w:sz="0" w:space="0" w:color="auto"/>
        <w:bottom w:val="none" w:sz="0" w:space="0" w:color="auto"/>
        <w:right w:val="none" w:sz="0" w:space="0" w:color="auto"/>
      </w:divBdr>
    </w:div>
    <w:div w:id="1526476496">
      <w:bodyDiv w:val="1"/>
      <w:marLeft w:val="0"/>
      <w:marRight w:val="0"/>
      <w:marTop w:val="0"/>
      <w:marBottom w:val="0"/>
      <w:divBdr>
        <w:top w:val="none" w:sz="0" w:space="0" w:color="auto"/>
        <w:left w:val="none" w:sz="0" w:space="0" w:color="auto"/>
        <w:bottom w:val="none" w:sz="0" w:space="0" w:color="auto"/>
        <w:right w:val="none" w:sz="0" w:space="0" w:color="auto"/>
      </w:divBdr>
    </w:div>
    <w:div w:id="1538735641">
      <w:bodyDiv w:val="1"/>
      <w:marLeft w:val="0"/>
      <w:marRight w:val="0"/>
      <w:marTop w:val="0"/>
      <w:marBottom w:val="0"/>
      <w:divBdr>
        <w:top w:val="none" w:sz="0" w:space="0" w:color="auto"/>
        <w:left w:val="none" w:sz="0" w:space="0" w:color="auto"/>
        <w:bottom w:val="none" w:sz="0" w:space="0" w:color="auto"/>
        <w:right w:val="none" w:sz="0" w:space="0" w:color="auto"/>
      </w:divBdr>
    </w:div>
    <w:div w:id="1539968565">
      <w:bodyDiv w:val="1"/>
      <w:marLeft w:val="0"/>
      <w:marRight w:val="0"/>
      <w:marTop w:val="0"/>
      <w:marBottom w:val="0"/>
      <w:divBdr>
        <w:top w:val="none" w:sz="0" w:space="0" w:color="auto"/>
        <w:left w:val="none" w:sz="0" w:space="0" w:color="auto"/>
        <w:bottom w:val="none" w:sz="0" w:space="0" w:color="auto"/>
        <w:right w:val="none" w:sz="0" w:space="0" w:color="auto"/>
      </w:divBdr>
    </w:div>
    <w:div w:id="1565917633">
      <w:bodyDiv w:val="1"/>
      <w:marLeft w:val="0"/>
      <w:marRight w:val="0"/>
      <w:marTop w:val="0"/>
      <w:marBottom w:val="0"/>
      <w:divBdr>
        <w:top w:val="none" w:sz="0" w:space="0" w:color="auto"/>
        <w:left w:val="none" w:sz="0" w:space="0" w:color="auto"/>
        <w:bottom w:val="none" w:sz="0" w:space="0" w:color="auto"/>
        <w:right w:val="none" w:sz="0" w:space="0" w:color="auto"/>
      </w:divBdr>
    </w:div>
    <w:div w:id="1570336641">
      <w:bodyDiv w:val="1"/>
      <w:marLeft w:val="0"/>
      <w:marRight w:val="0"/>
      <w:marTop w:val="0"/>
      <w:marBottom w:val="0"/>
      <w:divBdr>
        <w:top w:val="none" w:sz="0" w:space="0" w:color="auto"/>
        <w:left w:val="none" w:sz="0" w:space="0" w:color="auto"/>
        <w:bottom w:val="none" w:sz="0" w:space="0" w:color="auto"/>
        <w:right w:val="none" w:sz="0" w:space="0" w:color="auto"/>
      </w:divBdr>
    </w:div>
    <w:div w:id="1575437057">
      <w:bodyDiv w:val="1"/>
      <w:marLeft w:val="0"/>
      <w:marRight w:val="0"/>
      <w:marTop w:val="0"/>
      <w:marBottom w:val="0"/>
      <w:divBdr>
        <w:top w:val="none" w:sz="0" w:space="0" w:color="auto"/>
        <w:left w:val="none" w:sz="0" w:space="0" w:color="auto"/>
        <w:bottom w:val="none" w:sz="0" w:space="0" w:color="auto"/>
        <w:right w:val="none" w:sz="0" w:space="0" w:color="auto"/>
      </w:divBdr>
    </w:div>
    <w:div w:id="1578708662">
      <w:bodyDiv w:val="1"/>
      <w:marLeft w:val="0"/>
      <w:marRight w:val="0"/>
      <w:marTop w:val="0"/>
      <w:marBottom w:val="0"/>
      <w:divBdr>
        <w:top w:val="none" w:sz="0" w:space="0" w:color="auto"/>
        <w:left w:val="none" w:sz="0" w:space="0" w:color="auto"/>
        <w:bottom w:val="none" w:sz="0" w:space="0" w:color="auto"/>
        <w:right w:val="none" w:sz="0" w:space="0" w:color="auto"/>
      </w:divBdr>
    </w:div>
    <w:div w:id="1590234023">
      <w:bodyDiv w:val="1"/>
      <w:marLeft w:val="0"/>
      <w:marRight w:val="0"/>
      <w:marTop w:val="0"/>
      <w:marBottom w:val="0"/>
      <w:divBdr>
        <w:top w:val="none" w:sz="0" w:space="0" w:color="auto"/>
        <w:left w:val="none" w:sz="0" w:space="0" w:color="auto"/>
        <w:bottom w:val="none" w:sz="0" w:space="0" w:color="auto"/>
        <w:right w:val="none" w:sz="0" w:space="0" w:color="auto"/>
      </w:divBdr>
    </w:div>
    <w:div w:id="1591814164">
      <w:bodyDiv w:val="1"/>
      <w:marLeft w:val="0"/>
      <w:marRight w:val="0"/>
      <w:marTop w:val="0"/>
      <w:marBottom w:val="0"/>
      <w:divBdr>
        <w:top w:val="none" w:sz="0" w:space="0" w:color="auto"/>
        <w:left w:val="none" w:sz="0" w:space="0" w:color="auto"/>
        <w:bottom w:val="none" w:sz="0" w:space="0" w:color="auto"/>
        <w:right w:val="none" w:sz="0" w:space="0" w:color="auto"/>
      </w:divBdr>
    </w:div>
    <w:div w:id="1597981931">
      <w:bodyDiv w:val="1"/>
      <w:marLeft w:val="0"/>
      <w:marRight w:val="0"/>
      <w:marTop w:val="0"/>
      <w:marBottom w:val="0"/>
      <w:divBdr>
        <w:top w:val="none" w:sz="0" w:space="0" w:color="auto"/>
        <w:left w:val="none" w:sz="0" w:space="0" w:color="auto"/>
        <w:bottom w:val="none" w:sz="0" w:space="0" w:color="auto"/>
        <w:right w:val="none" w:sz="0" w:space="0" w:color="auto"/>
      </w:divBdr>
      <w:divsChild>
        <w:div w:id="102195707">
          <w:marLeft w:val="0"/>
          <w:marRight w:val="0"/>
          <w:marTop w:val="0"/>
          <w:marBottom w:val="0"/>
          <w:divBdr>
            <w:top w:val="none" w:sz="0" w:space="0" w:color="auto"/>
            <w:left w:val="none" w:sz="0" w:space="0" w:color="auto"/>
            <w:bottom w:val="none" w:sz="0" w:space="0" w:color="auto"/>
            <w:right w:val="none" w:sz="0" w:space="0" w:color="auto"/>
          </w:divBdr>
        </w:div>
      </w:divsChild>
    </w:div>
    <w:div w:id="1621717943">
      <w:bodyDiv w:val="1"/>
      <w:marLeft w:val="0"/>
      <w:marRight w:val="0"/>
      <w:marTop w:val="0"/>
      <w:marBottom w:val="0"/>
      <w:divBdr>
        <w:top w:val="none" w:sz="0" w:space="0" w:color="auto"/>
        <w:left w:val="none" w:sz="0" w:space="0" w:color="auto"/>
        <w:bottom w:val="none" w:sz="0" w:space="0" w:color="auto"/>
        <w:right w:val="none" w:sz="0" w:space="0" w:color="auto"/>
      </w:divBdr>
    </w:div>
    <w:div w:id="1629438027">
      <w:bodyDiv w:val="1"/>
      <w:marLeft w:val="0"/>
      <w:marRight w:val="0"/>
      <w:marTop w:val="0"/>
      <w:marBottom w:val="0"/>
      <w:divBdr>
        <w:top w:val="none" w:sz="0" w:space="0" w:color="auto"/>
        <w:left w:val="none" w:sz="0" w:space="0" w:color="auto"/>
        <w:bottom w:val="none" w:sz="0" w:space="0" w:color="auto"/>
        <w:right w:val="none" w:sz="0" w:space="0" w:color="auto"/>
      </w:divBdr>
    </w:div>
    <w:div w:id="1629974813">
      <w:bodyDiv w:val="1"/>
      <w:marLeft w:val="0"/>
      <w:marRight w:val="0"/>
      <w:marTop w:val="0"/>
      <w:marBottom w:val="0"/>
      <w:divBdr>
        <w:top w:val="none" w:sz="0" w:space="0" w:color="auto"/>
        <w:left w:val="none" w:sz="0" w:space="0" w:color="auto"/>
        <w:bottom w:val="none" w:sz="0" w:space="0" w:color="auto"/>
        <w:right w:val="none" w:sz="0" w:space="0" w:color="auto"/>
      </w:divBdr>
    </w:div>
    <w:div w:id="1630042295">
      <w:bodyDiv w:val="1"/>
      <w:marLeft w:val="0"/>
      <w:marRight w:val="0"/>
      <w:marTop w:val="0"/>
      <w:marBottom w:val="0"/>
      <w:divBdr>
        <w:top w:val="none" w:sz="0" w:space="0" w:color="auto"/>
        <w:left w:val="none" w:sz="0" w:space="0" w:color="auto"/>
        <w:bottom w:val="none" w:sz="0" w:space="0" w:color="auto"/>
        <w:right w:val="none" w:sz="0" w:space="0" w:color="auto"/>
      </w:divBdr>
    </w:div>
    <w:div w:id="1634602877">
      <w:bodyDiv w:val="1"/>
      <w:marLeft w:val="0"/>
      <w:marRight w:val="0"/>
      <w:marTop w:val="0"/>
      <w:marBottom w:val="0"/>
      <w:divBdr>
        <w:top w:val="none" w:sz="0" w:space="0" w:color="auto"/>
        <w:left w:val="none" w:sz="0" w:space="0" w:color="auto"/>
        <w:bottom w:val="none" w:sz="0" w:space="0" w:color="auto"/>
        <w:right w:val="none" w:sz="0" w:space="0" w:color="auto"/>
      </w:divBdr>
    </w:div>
    <w:div w:id="1677685305">
      <w:bodyDiv w:val="1"/>
      <w:marLeft w:val="0"/>
      <w:marRight w:val="0"/>
      <w:marTop w:val="0"/>
      <w:marBottom w:val="0"/>
      <w:divBdr>
        <w:top w:val="none" w:sz="0" w:space="0" w:color="auto"/>
        <w:left w:val="none" w:sz="0" w:space="0" w:color="auto"/>
        <w:bottom w:val="none" w:sz="0" w:space="0" w:color="auto"/>
        <w:right w:val="none" w:sz="0" w:space="0" w:color="auto"/>
      </w:divBdr>
    </w:div>
    <w:div w:id="1689791379">
      <w:bodyDiv w:val="1"/>
      <w:marLeft w:val="0"/>
      <w:marRight w:val="0"/>
      <w:marTop w:val="0"/>
      <w:marBottom w:val="0"/>
      <w:divBdr>
        <w:top w:val="none" w:sz="0" w:space="0" w:color="auto"/>
        <w:left w:val="none" w:sz="0" w:space="0" w:color="auto"/>
        <w:bottom w:val="none" w:sz="0" w:space="0" w:color="auto"/>
        <w:right w:val="none" w:sz="0" w:space="0" w:color="auto"/>
      </w:divBdr>
    </w:div>
    <w:div w:id="1690326215">
      <w:bodyDiv w:val="1"/>
      <w:marLeft w:val="0"/>
      <w:marRight w:val="0"/>
      <w:marTop w:val="0"/>
      <w:marBottom w:val="0"/>
      <w:divBdr>
        <w:top w:val="none" w:sz="0" w:space="0" w:color="auto"/>
        <w:left w:val="none" w:sz="0" w:space="0" w:color="auto"/>
        <w:bottom w:val="none" w:sz="0" w:space="0" w:color="auto"/>
        <w:right w:val="none" w:sz="0" w:space="0" w:color="auto"/>
      </w:divBdr>
    </w:div>
    <w:div w:id="1690791778">
      <w:bodyDiv w:val="1"/>
      <w:marLeft w:val="0"/>
      <w:marRight w:val="0"/>
      <w:marTop w:val="0"/>
      <w:marBottom w:val="0"/>
      <w:divBdr>
        <w:top w:val="none" w:sz="0" w:space="0" w:color="auto"/>
        <w:left w:val="none" w:sz="0" w:space="0" w:color="auto"/>
        <w:bottom w:val="none" w:sz="0" w:space="0" w:color="auto"/>
        <w:right w:val="none" w:sz="0" w:space="0" w:color="auto"/>
      </w:divBdr>
    </w:div>
    <w:div w:id="1691028430">
      <w:bodyDiv w:val="1"/>
      <w:marLeft w:val="0"/>
      <w:marRight w:val="0"/>
      <w:marTop w:val="0"/>
      <w:marBottom w:val="0"/>
      <w:divBdr>
        <w:top w:val="none" w:sz="0" w:space="0" w:color="auto"/>
        <w:left w:val="none" w:sz="0" w:space="0" w:color="auto"/>
        <w:bottom w:val="none" w:sz="0" w:space="0" w:color="auto"/>
        <w:right w:val="none" w:sz="0" w:space="0" w:color="auto"/>
      </w:divBdr>
    </w:div>
    <w:div w:id="1692145884">
      <w:bodyDiv w:val="1"/>
      <w:marLeft w:val="0"/>
      <w:marRight w:val="0"/>
      <w:marTop w:val="0"/>
      <w:marBottom w:val="0"/>
      <w:divBdr>
        <w:top w:val="none" w:sz="0" w:space="0" w:color="auto"/>
        <w:left w:val="none" w:sz="0" w:space="0" w:color="auto"/>
        <w:bottom w:val="none" w:sz="0" w:space="0" w:color="auto"/>
        <w:right w:val="none" w:sz="0" w:space="0" w:color="auto"/>
      </w:divBdr>
    </w:div>
    <w:div w:id="1698314283">
      <w:bodyDiv w:val="1"/>
      <w:marLeft w:val="0"/>
      <w:marRight w:val="0"/>
      <w:marTop w:val="0"/>
      <w:marBottom w:val="0"/>
      <w:divBdr>
        <w:top w:val="none" w:sz="0" w:space="0" w:color="auto"/>
        <w:left w:val="none" w:sz="0" w:space="0" w:color="auto"/>
        <w:bottom w:val="none" w:sz="0" w:space="0" w:color="auto"/>
        <w:right w:val="none" w:sz="0" w:space="0" w:color="auto"/>
      </w:divBdr>
    </w:div>
    <w:div w:id="1699087686">
      <w:bodyDiv w:val="1"/>
      <w:marLeft w:val="0"/>
      <w:marRight w:val="0"/>
      <w:marTop w:val="0"/>
      <w:marBottom w:val="0"/>
      <w:divBdr>
        <w:top w:val="none" w:sz="0" w:space="0" w:color="auto"/>
        <w:left w:val="none" w:sz="0" w:space="0" w:color="auto"/>
        <w:bottom w:val="none" w:sz="0" w:space="0" w:color="auto"/>
        <w:right w:val="none" w:sz="0" w:space="0" w:color="auto"/>
      </w:divBdr>
    </w:div>
    <w:div w:id="1705057411">
      <w:bodyDiv w:val="1"/>
      <w:marLeft w:val="0"/>
      <w:marRight w:val="0"/>
      <w:marTop w:val="0"/>
      <w:marBottom w:val="0"/>
      <w:divBdr>
        <w:top w:val="none" w:sz="0" w:space="0" w:color="auto"/>
        <w:left w:val="none" w:sz="0" w:space="0" w:color="auto"/>
        <w:bottom w:val="none" w:sz="0" w:space="0" w:color="auto"/>
        <w:right w:val="none" w:sz="0" w:space="0" w:color="auto"/>
      </w:divBdr>
    </w:div>
    <w:div w:id="1705670326">
      <w:bodyDiv w:val="1"/>
      <w:marLeft w:val="0"/>
      <w:marRight w:val="0"/>
      <w:marTop w:val="0"/>
      <w:marBottom w:val="0"/>
      <w:divBdr>
        <w:top w:val="none" w:sz="0" w:space="0" w:color="auto"/>
        <w:left w:val="none" w:sz="0" w:space="0" w:color="auto"/>
        <w:bottom w:val="none" w:sz="0" w:space="0" w:color="auto"/>
        <w:right w:val="none" w:sz="0" w:space="0" w:color="auto"/>
      </w:divBdr>
    </w:div>
    <w:div w:id="1711684371">
      <w:bodyDiv w:val="1"/>
      <w:marLeft w:val="0"/>
      <w:marRight w:val="0"/>
      <w:marTop w:val="0"/>
      <w:marBottom w:val="0"/>
      <w:divBdr>
        <w:top w:val="none" w:sz="0" w:space="0" w:color="auto"/>
        <w:left w:val="none" w:sz="0" w:space="0" w:color="auto"/>
        <w:bottom w:val="none" w:sz="0" w:space="0" w:color="auto"/>
        <w:right w:val="none" w:sz="0" w:space="0" w:color="auto"/>
      </w:divBdr>
    </w:div>
    <w:div w:id="1716343506">
      <w:bodyDiv w:val="1"/>
      <w:marLeft w:val="0"/>
      <w:marRight w:val="0"/>
      <w:marTop w:val="0"/>
      <w:marBottom w:val="0"/>
      <w:divBdr>
        <w:top w:val="none" w:sz="0" w:space="0" w:color="auto"/>
        <w:left w:val="none" w:sz="0" w:space="0" w:color="auto"/>
        <w:bottom w:val="none" w:sz="0" w:space="0" w:color="auto"/>
        <w:right w:val="none" w:sz="0" w:space="0" w:color="auto"/>
      </w:divBdr>
    </w:div>
    <w:div w:id="1741366669">
      <w:bodyDiv w:val="1"/>
      <w:marLeft w:val="0"/>
      <w:marRight w:val="0"/>
      <w:marTop w:val="0"/>
      <w:marBottom w:val="0"/>
      <w:divBdr>
        <w:top w:val="none" w:sz="0" w:space="0" w:color="auto"/>
        <w:left w:val="none" w:sz="0" w:space="0" w:color="auto"/>
        <w:bottom w:val="none" w:sz="0" w:space="0" w:color="auto"/>
        <w:right w:val="none" w:sz="0" w:space="0" w:color="auto"/>
      </w:divBdr>
    </w:div>
    <w:div w:id="1770159284">
      <w:bodyDiv w:val="1"/>
      <w:marLeft w:val="0"/>
      <w:marRight w:val="0"/>
      <w:marTop w:val="0"/>
      <w:marBottom w:val="0"/>
      <w:divBdr>
        <w:top w:val="none" w:sz="0" w:space="0" w:color="auto"/>
        <w:left w:val="none" w:sz="0" w:space="0" w:color="auto"/>
        <w:bottom w:val="none" w:sz="0" w:space="0" w:color="auto"/>
        <w:right w:val="none" w:sz="0" w:space="0" w:color="auto"/>
      </w:divBdr>
    </w:div>
    <w:div w:id="1780100964">
      <w:bodyDiv w:val="1"/>
      <w:marLeft w:val="0"/>
      <w:marRight w:val="0"/>
      <w:marTop w:val="0"/>
      <w:marBottom w:val="0"/>
      <w:divBdr>
        <w:top w:val="none" w:sz="0" w:space="0" w:color="auto"/>
        <w:left w:val="none" w:sz="0" w:space="0" w:color="auto"/>
        <w:bottom w:val="none" w:sz="0" w:space="0" w:color="auto"/>
        <w:right w:val="none" w:sz="0" w:space="0" w:color="auto"/>
      </w:divBdr>
    </w:div>
    <w:div w:id="1814132876">
      <w:bodyDiv w:val="1"/>
      <w:marLeft w:val="0"/>
      <w:marRight w:val="0"/>
      <w:marTop w:val="0"/>
      <w:marBottom w:val="0"/>
      <w:divBdr>
        <w:top w:val="none" w:sz="0" w:space="0" w:color="auto"/>
        <w:left w:val="none" w:sz="0" w:space="0" w:color="auto"/>
        <w:bottom w:val="none" w:sz="0" w:space="0" w:color="auto"/>
        <w:right w:val="none" w:sz="0" w:space="0" w:color="auto"/>
      </w:divBdr>
    </w:div>
    <w:div w:id="1821001211">
      <w:bodyDiv w:val="1"/>
      <w:marLeft w:val="0"/>
      <w:marRight w:val="0"/>
      <w:marTop w:val="0"/>
      <w:marBottom w:val="0"/>
      <w:divBdr>
        <w:top w:val="none" w:sz="0" w:space="0" w:color="auto"/>
        <w:left w:val="none" w:sz="0" w:space="0" w:color="auto"/>
        <w:bottom w:val="none" w:sz="0" w:space="0" w:color="auto"/>
        <w:right w:val="none" w:sz="0" w:space="0" w:color="auto"/>
      </w:divBdr>
    </w:div>
    <w:div w:id="1832090520">
      <w:bodyDiv w:val="1"/>
      <w:marLeft w:val="0"/>
      <w:marRight w:val="0"/>
      <w:marTop w:val="0"/>
      <w:marBottom w:val="0"/>
      <w:divBdr>
        <w:top w:val="none" w:sz="0" w:space="0" w:color="auto"/>
        <w:left w:val="none" w:sz="0" w:space="0" w:color="auto"/>
        <w:bottom w:val="none" w:sz="0" w:space="0" w:color="auto"/>
        <w:right w:val="none" w:sz="0" w:space="0" w:color="auto"/>
      </w:divBdr>
    </w:div>
    <w:div w:id="1834102636">
      <w:bodyDiv w:val="1"/>
      <w:marLeft w:val="0"/>
      <w:marRight w:val="0"/>
      <w:marTop w:val="0"/>
      <w:marBottom w:val="0"/>
      <w:divBdr>
        <w:top w:val="none" w:sz="0" w:space="0" w:color="auto"/>
        <w:left w:val="none" w:sz="0" w:space="0" w:color="auto"/>
        <w:bottom w:val="none" w:sz="0" w:space="0" w:color="auto"/>
        <w:right w:val="none" w:sz="0" w:space="0" w:color="auto"/>
      </w:divBdr>
    </w:div>
    <w:div w:id="1855147100">
      <w:bodyDiv w:val="1"/>
      <w:marLeft w:val="0"/>
      <w:marRight w:val="0"/>
      <w:marTop w:val="0"/>
      <w:marBottom w:val="0"/>
      <w:divBdr>
        <w:top w:val="none" w:sz="0" w:space="0" w:color="auto"/>
        <w:left w:val="none" w:sz="0" w:space="0" w:color="auto"/>
        <w:bottom w:val="none" w:sz="0" w:space="0" w:color="auto"/>
        <w:right w:val="none" w:sz="0" w:space="0" w:color="auto"/>
      </w:divBdr>
    </w:div>
    <w:div w:id="1873419365">
      <w:bodyDiv w:val="1"/>
      <w:marLeft w:val="0"/>
      <w:marRight w:val="0"/>
      <w:marTop w:val="0"/>
      <w:marBottom w:val="0"/>
      <w:divBdr>
        <w:top w:val="none" w:sz="0" w:space="0" w:color="auto"/>
        <w:left w:val="none" w:sz="0" w:space="0" w:color="auto"/>
        <w:bottom w:val="none" w:sz="0" w:space="0" w:color="auto"/>
        <w:right w:val="none" w:sz="0" w:space="0" w:color="auto"/>
      </w:divBdr>
    </w:div>
    <w:div w:id="1922525939">
      <w:bodyDiv w:val="1"/>
      <w:marLeft w:val="0"/>
      <w:marRight w:val="0"/>
      <w:marTop w:val="0"/>
      <w:marBottom w:val="0"/>
      <w:divBdr>
        <w:top w:val="none" w:sz="0" w:space="0" w:color="auto"/>
        <w:left w:val="none" w:sz="0" w:space="0" w:color="auto"/>
        <w:bottom w:val="none" w:sz="0" w:space="0" w:color="auto"/>
        <w:right w:val="none" w:sz="0" w:space="0" w:color="auto"/>
      </w:divBdr>
    </w:div>
    <w:div w:id="1925413523">
      <w:bodyDiv w:val="1"/>
      <w:marLeft w:val="0"/>
      <w:marRight w:val="0"/>
      <w:marTop w:val="0"/>
      <w:marBottom w:val="0"/>
      <w:divBdr>
        <w:top w:val="none" w:sz="0" w:space="0" w:color="auto"/>
        <w:left w:val="none" w:sz="0" w:space="0" w:color="auto"/>
        <w:bottom w:val="none" w:sz="0" w:space="0" w:color="auto"/>
        <w:right w:val="none" w:sz="0" w:space="0" w:color="auto"/>
      </w:divBdr>
    </w:div>
    <w:div w:id="1928417199">
      <w:bodyDiv w:val="1"/>
      <w:marLeft w:val="0"/>
      <w:marRight w:val="0"/>
      <w:marTop w:val="0"/>
      <w:marBottom w:val="0"/>
      <w:divBdr>
        <w:top w:val="none" w:sz="0" w:space="0" w:color="auto"/>
        <w:left w:val="none" w:sz="0" w:space="0" w:color="auto"/>
        <w:bottom w:val="none" w:sz="0" w:space="0" w:color="auto"/>
        <w:right w:val="none" w:sz="0" w:space="0" w:color="auto"/>
      </w:divBdr>
    </w:div>
    <w:div w:id="1928731533">
      <w:bodyDiv w:val="1"/>
      <w:marLeft w:val="0"/>
      <w:marRight w:val="0"/>
      <w:marTop w:val="0"/>
      <w:marBottom w:val="0"/>
      <w:divBdr>
        <w:top w:val="none" w:sz="0" w:space="0" w:color="auto"/>
        <w:left w:val="none" w:sz="0" w:space="0" w:color="auto"/>
        <w:bottom w:val="none" w:sz="0" w:space="0" w:color="auto"/>
        <w:right w:val="none" w:sz="0" w:space="0" w:color="auto"/>
      </w:divBdr>
    </w:div>
    <w:div w:id="1939365969">
      <w:bodyDiv w:val="1"/>
      <w:marLeft w:val="0"/>
      <w:marRight w:val="0"/>
      <w:marTop w:val="0"/>
      <w:marBottom w:val="0"/>
      <w:divBdr>
        <w:top w:val="none" w:sz="0" w:space="0" w:color="auto"/>
        <w:left w:val="none" w:sz="0" w:space="0" w:color="auto"/>
        <w:bottom w:val="none" w:sz="0" w:space="0" w:color="auto"/>
        <w:right w:val="none" w:sz="0" w:space="0" w:color="auto"/>
      </w:divBdr>
    </w:div>
    <w:div w:id="1943101671">
      <w:bodyDiv w:val="1"/>
      <w:marLeft w:val="0"/>
      <w:marRight w:val="0"/>
      <w:marTop w:val="0"/>
      <w:marBottom w:val="0"/>
      <w:divBdr>
        <w:top w:val="none" w:sz="0" w:space="0" w:color="auto"/>
        <w:left w:val="none" w:sz="0" w:space="0" w:color="auto"/>
        <w:bottom w:val="none" w:sz="0" w:space="0" w:color="auto"/>
        <w:right w:val="none" w:sz="0" w:space="0" w:color="auto"/>
      </w:divBdr>
    </w:div>
    <w:div w:id="1950356841">
      <w:bodyDiv w:val="1"/>
      <w:marLeft w:val="0"/>
      <w:marRight w:val="0"/>
      <w:marTop w:val="0"/>
      <w:marBottom w:val="0"/>
      <w:divBdr>
        <w:top w:val="none" w:sz="0" w:space="0" w:color="auto"/>
        <w:left w:val="none" w:sz="0" w:space="0" w:color="auto"/>
        <w:bottom w:val="none" w:sz="0" w:space="0" w:color="auto"/>
        <w:right w:val="none" w:sz="0" w:space="0" w:color="auto"/>
      </w:divBdr>
    </w:div>
    <w:div w:id="1954558396">
      <w:bodyDiv w:val="1"/>
      <w:marLeft w:val="0"/>
      <w:marRight w:val="0"/>
      <w:marTop w:val="0"/>
      <w:marBottom w:val="0"/>
      <w:divBdr>
        <w:top w:val="none" w:sz="0" w:space="0" w:color="auto"/>
        <w:left w:val="none" w:sz="0" w:space="0" w:color="auto"/>
        <w:bottom w:val="none" w:sz="0" w:space="0" w:color="auto"/>
        <w:right w:val="none" w:sz="0" w:space="0" w:color="auto"/>
      </w:divBdr>
    </w:div>
    <w:div w:id="1957786594">
      <w:bodyDiv w:val="1"/>
      <w:marLeft w:val="0"/>
      <w:marRight w:val="0"/>
      <w:marTop w:val="0"/>
      <w:marBottom w:val="0"/>
      <w:divBdr>
        <w:top w:val="none" w:sz="0" w:space="0" w:color="auto"/>
        <w:left w:val="none" w:sz="0" w:space="0" w:color="auto"/>
        <w:bottom w:val="none" w:sz="0" w:space="0" w:color="auto"/>
        <w:right w:val="none" w:sz="0" w:space="0" w:color="auto"/>
      </w:divBdr>
    </w:div>
    <w:div w:id="1958444890">
      <w:bodyDiv w:val="1"/>
      <w:marLeft w:val="0"/>
      <w:marRight w:val="0"/>
      <w:marTop w:val="0"/>
      <w:marBottom w:val="0"/>
      <w:divBdr>
        <w:top w:val="none" w:sz="0" w:space="0" w:color="auto"/>
        <w:left w:val="none" w:sz="0" w:space="0" w:color="auto"/>
        <w:bottom w:val="none" w:sz="0" w:space="0" w:color="auto"/>
        <w:right w:val="none" w:sz="0" w:space="0" w:color="auto"/>
      </w:divBdr>
    </w:div>
    <w:div w:id="1976138603">
      <w:bodyDiv w:val="1"/>
      <w:marLeft w:val="0"/>
      <w:marRight w:val="0"/>
      <w:marTop w:val="0"/>
      <w:marBottom w:val="0"/>
      <w:divBdr>
        <w:top w:val="none" w:sz="0" w:space="0" w:color="auto"/>
        <w:left w:val="none" w:sz="0" w:space="0" w:color="auto"/>
        <w:bottom w:val="none" w:sz="0" w:space="0" w:color="auto"/>
        <w:right w:val="none" w:sz="0" w:space="0" w:color="auto"/>
      </w:divBdr>
    </w:div>
    <w:div w:id="1983121302">
      <w:bodyDiv w:val="1"/>
      <w:marLeft w:val="0"/>
      <w:marRight w:val="0"/>
      <w:marTop w:val="0"/>
      <w:marBottom w:val="0"/>
      <w:divBdr>
        <w:top w:val="none" w:sz="0" w:space="0" w:color="auto"/>
        <w:left w:val="none" w:sz="0" w:space="0" w:color="auto"/>
        <w:bottom w:val="none" w:sz="0" w:space="0" w:color="auto"/>
        <w:right w:val="none" w:sz="0" w:space="0" w:color="auto"/>
      </w:divBdr>
    </w:div>
    <w:div w:id="1986666332">
      <w:bodyDiv w:val="1"/>
      <w:marLeft w:val="0"/>
      <w:marRight w:val="0"/>
      <w:marTop w:val="0"/>
      <w:marBottom w:val="0"/>
      <w:divBdr>
        <w:top w:val="none" w:sz="0" w:space="0" w:color="auto"/>
        <w:left w:val="none" w:sz="0" w:space="0" w:color="auto"/>
        <w:bottom w:val="none" w:sz="0" w:space="0" w:color="auto"/>
        <w:right w:val="none" w:sz="0" w:space="0" w:color="auto"/>
      </w:divBdr>
    </w:div>
    <w:div w:id="2018574374">
      <w:bodyDiv w:val="1"/>
      <w:marLeft w:val="0"/>
      <w:marRight w:val="0"/>
      <w:marTop w:val="0"/>
      <w:marBottom w:val="0"/>
      <w:divBdr>
        <w:top w:val="none" w:sz="0" w:space="0" w:color="auto"/>
        <w:left w:val="none" w:sz="0" w:space="0" w:color="auto"/>
        <w:bottom w:val="none" w:sz="0" w:space="0" w:color="auto"/>
        <w:right w:val="none" w:sz="0" w:space="0" w:color="auto"/>
      </w:divBdr>
    </w:div>
    <w:div w:id="2019387792">
      <w:bodyDiv w:val="1"/>
      <w:marLeft w:val="0"/>
      <w:marRight w:val="0"/>
      <w:marTop w:val="0"/>
      <w:marBottom w:val="0"/>
      <w:divBdr>
        <w:top w:val="none" w:sz="0" w:space="0" w:color="auto"/>
        <w:left w:val="none" w:sz="0" w:space="0" w:color="auto"/>
        <w:bottom w:val="none" w:sz="0" w:space="0" w:color="auto"/>
        <w:right w:val="none" w:sz="0" w:space="0" w:color="auto"/>
      </w:divBdr>
    </w:div>
    <w:div w:id="2020353199">
      <w:bodyDiv w:val="1"/>
      <w:marLeft w:val="0"/>
      <w:marRight w:val="0"/>
      <w:marTop w:val="0"/>
      <w:marBottom w:val="0"/>
      <w:divBdr>
        <w:top w:val="none" w:sz="0" w:space="0" w:color="auto"/>
        <w:left w:val="none" w:sz="0" w:space="0" w:color="auto"/>
        <w:bottom w:val="none" w:sz="0" w:space="0" w:color="auto"/>
        <w:right w:val="none" w:sz="0" w:space="0" w:color="auto"/>
      </w:divBdr>
    </w:div>
    <w:div w:id="2032367105">
      <w:bodyDiv w:val="1"/>
      <w:marLeft w:val="0"/>
      <w:marRight w:val="0"/>
      <w:marTop w:val="0"/>
      <w:marBottom w:val="0"/>
      <w:divBdr>
        <w:top w:val="none" w:sz="0" w:space="0" w:color="auto"/>
        <w:left w:val="none" w:sz="0" w:space="0" w:color="auto"/>
        <w:bottom w:val="none" w:sz="0" w:space="0" w:color="auto"/>
        <w:right w:val="none" w:sz="0" w:space="0" w:color="auto"/>
      </w:divBdr>
    </w:div>
    <w:div w:id="2039894527">
      <w:bodyDiv w:val="1"/>
      <w:marLeft w:val="0"/>
      <w:marRight w:val="0"/>
      <w:marTop w:val="0"/>
      <w:marBottom w:val="0"/>
      <w:divBdr>
        <w:top w:val="none" w:sz="0" w:space="0" w:color="auto"/>
        <w:left w:val="none" w:sz="0" w:space="0" w:color="auto"/>
        <w:bottom w:val="none" w:sz="0" w:space="0" w:color="auto"/>
        <w:right w:val="none" w:sz="0" w:space="0" w:color="auto"/>
      </w:divBdr>
    </w:div>
    <w:div w:id="2053844536">
      <w:bodyDiv w:val="1"/>
      <w:marLeft w:val="0"/>
      <w:marRight w:val="0"/>
      <w:marTop w:val="0"/>
      <w:marBottom w:val="0"/>
      <w:divBdr>
        <w:top w:val="none" w:sz="0" w:space="0" w:color="auto"/>
        <w:left w:val="none" w:sz="0" w:space="0" w:color="auto"/>
        <w:bottom w:val="none" w:sz="0" w:space="0" w:color="auto"/>
        <w:right w:val="none" w:sz="0" w:space="0" w:color="auto"/>
      </w:divBdr>
    </w:div>
    <w:div w:id="2059085991">
      <w:bodyDiv w:val="1"/>
      <w:marLeft w:val="0"/>
      <w:marRight w:val="0"/>
      <w:marTop w:val="0"/>
      <w:marBottom w:val="0"/>
      <w:divBdr>
        <w:top w:val="none" w:sz="0" w:space="0" w:color="auto"/>
        <w:left w:val="none" w:sz="0" w:space="0" w:color="auto"/>
        <w:bottom w:val="none" w:sz="0" w:space="0" w:color="auto"/>
        <w:right w:val="none" w:sz="0" w:space="0" w:color="auto"/>
      </w:divBdr>
    </w:div>
    <w:div w:id="2077435158">
      <w:bodyDiv w:val="1"/>
      <w:marLeft w:val="0"/>
      <w:marRight w:val="0"/>
      <w:marTop w:val="0"/>
      <w:marBottom w:val="0"/>
      <w:divBdr>
        <w:top w:val="none" w:sz="0" w:space="0" w:color="auto"/>
        <w:left w:val="none" w:sz="0" w:space="0" w:color="auto"/>
        <w:bottom w:val="none" w:sz="0" w:space="0" w:color="auto"/>
        <w:right w:val="none" w:sz="0" w:space="0" w:color="auto"/>
      </w:divBdr>
    </w:div>
    <w:div w:id="2102412132">
      <w:bodyDiv w:val="1"/>
      <w:marLeft w:val="0"/>
      <w:marRight w:val="0"/>
      <w:marTop w:val="0"/>
      <w:marBottom w:val="0"/>
      <w:divBdr>
        <w:top w:val="none" w:sz="0" w:space="0" w:color="auto"/>
        <w:left w:val="none" w:sz="0" w:space="0" w:color="auto"/>
        <w:bottom w:val="none" w:sz="0" w:space="0" w:color="auto"/>
        <w:right w:val="none" w:sz="0" w:space="0" w:color="auto"/>
      </w:divBdr>
    </w:div>
    <w:div w:id="2116634014">
      <w:bodyDiv w:val="1"/>
      <w:marLeft w:val="0"/>
      <w:marRight w:val="0"/>
      <w:marTop w:val="0"/>
      <w:marBottom w:val="0"/>
      <w:divBdr>
        <w:top w:val="none" w:sz="0" w:space="0" w:color="auto"/>
        <w:left w:val="none" w:sz="0" w:space="0" w:color="auto"/>
        <w:bottom w:val="none" w:sz="0" w:space="0" w:color="auto"/>
        <w:right w:val="none" w:sz="0" w:space="0" w:color="auto"/>
      </w:divBdr>
    </w:div>
    <w:div w:id="2124882527">
      <w:bodyDiv w:val="1"/>
      <w:marLeft w:val="0"/>
      <w:marRight w:val="0"/>
      <w:marTop w:val="0"/>
      <w:marBottom w:val="0"/>
      <w:divBdr>
        <w:top w:val="none" w:sz="0" w:space="0" w:color="auto"/>
        <w:left w:val="none" w:sz="0" w:space="0" w:color="auto"/>
        <w:bottom w:val="none" w:sz="0" w:space="0" w:color="auto"/>
        <w:right w:val="none" w:sz="0" w:space="0" w:color="auto"/>
      </w:divBdr>
    </w:div>
    <w:div w:id="2126272453">
      <w:bodyDiv w:val="1"/>
      <w:marLeft w:val="0"/>
      <w:marRight w:val="0"/>
      <w:marTop w:val="0"/>
      <w:marBottom w:val="0"/>
      <w:divBdr>
        <w:top w:val="none" w:sz="0" w:space="0" w:color="auto"/>
        <w:left w:val="none" w:sz="0" w:space="0" w:color="auto"/>
        <w:bottom w:val="none" w:sz="0" w:space="0" w:color="auto"/>
        <w:right w:val="none" w:sz="0" w:space="0" w:color="auto"/>
      </w:divBdr>
    </w:div>
    <w:div w:id="2127041524">
      <w:bodyDiv w:val="1"/>
      <w:marLeft w:val="0"/>
      <w:marRight w:val="0"/>
      <w:marTop w:val="0"/>
      <w:marBottom w:val="0"/>
      <w:divBdr>
        <w:top w:val="none" w:sz="0" w:space="0" w:color="auto"/>
        <w:left w:val="none" w:sz="0" w:space="0" w:color="auto"/>
        <w:bottom w:val="none" w:sz="0" w:space="0" w:color="auto"/>
        <w:right w:val="none" w:sz="0" w:space="0" w:color="auto"/>
      </w:divBdr>
    </w:div>
    <w:div w:id="2127429742">
      <w:bodyDiv w:val="1"/>
      <w:marLeft w:val="0"/>
      <w:marRight w:val="0"/>
      <w:marTop w:val="0"/>
      <w:marBottom w:val="0"/>
      <w:divBdr>
        <w:top w:val="none" w:sz="0" w:space="0" w:color="auto"/>
        <w:left w:val="none" w:sz="0" w:space="0" w:color="auto"/>
        <w:bottom w:val="none" w:sz="0" w:space="0" w:color="auto"/>
        <w:right w:val="none" w:sz="0" w:space="0" w:color="auto"/>
      </w:divBdr>
    </w:div>
    <w:div w:id="2139714271">
      <w:bodyDiv w:val="1"/>
      <w:marLeft w:val="0"/>
      <w:marRight w:val="0"/>
      <w:marTop w:val="0"/>
      <w:marBottom w:val="0"/>
      <w:divBdr>
        <w:top w:val="none" w:sz="0" w:space="0" w:color="auto"/>
        <w:left w:val="none" w:sz="0" w:space="0" w:color="auto"/>
        <w:bottom w:val="none" w:sz="0" w:space="0" w:color="auto"/>
        <w:right w:val="none" w:sz="0" w:space="0" w:color="auto"/>
      </w:divBdr>
    </w:div>
    <w:div w:id="214292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palatella@wfa.com" TargetMode="External"/><Relationship Id="rId13" Type="http://schemas.openxmlformats.org/officeDocument/2006/relationships/chart" Target="charts/chart1.xm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fif"/><Relationship Id="rId7" Type="http://schemas.openxmlformats.org/officeDocument/2006/relationships/endnotes" Target="endnotes.xml"/><Relationship Id="rId12" Type="http://schemas.openxmlformats.org/officeDocument/2006/relationships/image" Target="media/image3.jfif"/><Relationship Id="rId17" Type="http://schemas.openxmlformats.org/officeDocument/2006/relationships/chart" Target="charts/chart2.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f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gq-magazine.co.uk/article/how-to-buy-a-sports-team"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orbes.com/profile/michael-obrien/" TargetMode="External"/><Relationship Id="rId14" Type="http://schemas.openxmlformats.org/officeDocument/2006/relationships/image" Target="media/image4.jfif"/><Relationship Id="rId22" Type="http://schemas.openxmlformats.org/officeDocument/2006/relationships/hyperlink" Target="https://lifescapes.wellsfargoadvisors.com/tax-law-changes-what-happens-in-2024/"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8.jfif"/><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oleObject" Target="file:///\\ncslnsf701z1.wellsfargo.net\C_PCS_Groups\INVESTMENT_STRATEGY_TEAM\Publications\Market%20Charts\market%20charts%20FI%20RA%20Alts%20FX%20A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ncslnsf701z1.wellsfargo.net\C_PCS_Groups\INVESTMENT_STRATEGY_TEAM\Publications\Market%20Charts\market%20charts%20Econ%20EQ.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200" b="1" i="0" u="none" strike="noStrike" kern="1200" spc="0" baseline="0">
                <a:solidFill>
                  <a:srgbClr val="3C3C3C"/>
                </a:solidFill>
                <a:latin typeface="Wells Fargo Sans" panose="020B0503020203020204" pitchFamily="34" charset="0"/>
                <a:ea typeface="+mn-ea"/>
                <a:cs typeface="+mn-cs"/>
              </a:defRPr>
            </a:pPr>
            <a:r>
              <a:rPr lang="en-US" sz="1200" b="1">
                <a:solidFill>
                  <a:srgbClr val="3C3C3C"/>
                </a:solidFill>
              </a:rPr>
              <a:t>Impact of a 1% sudden rise or fall in interest rates </a:t>
            </a:r>
          </a:p>
        </c:rich>
      </c:tx>
      <c:overlay val="0"/>
      <c:spPr>
        <a:noFill/>
        <a:ln>
          <a:noFill/>
        </a:ln>
        <a:effectLst/>
      </c:spPr>
    </c:title>
    <c:autoTitleDeleted val="0"/>
    <c:plotArea>
      <c:layout>
        <c:manualLayout>
          <c:layoutTarget val="inner"/>
          <c:xMode val="edge"/>
          <c:yMode val="edge"/>
          <c:x val="0.20926891873153464"/>
          <c:y val="6.9774938312351681E-2"/>
          <c:w val="0.75498236658737816"/>
          <c:h val="0.80436229902399925"/>
        </c:manualLayout>
      </c:layout>
      <c:barChart>
        <c:barDir val="bar"/>
        <c:grouping val="clustered"/>
        <c:varyColors val="1"/>
        <c:ser>
          <c:idx val="0"/>
          <c:order val="0"/>
          <c:tx>
            <c:strRef>
              <c:f>duration!$A$2</c:f>
              <c:strCache>
                <c:ptCount val="1"/>
                <c:pt idx="0">
                  <c:v>1% fall</c:v>
                </c:pt>
              </c:strCache>
            </c:strRef>
          </c:tx>
          <c:spPr>
            <a:solidFill>
              <a:srgbClr val="EB691E"/>
            </a:solidFill>
            <a:ln>
              <a:noFill/>
            </a:ln>
            <a:effectLst/>
          </c:spPr>
          <c:invertIfNegative val="0"/>
          <c:dPt>
            <c:idx val="0"/>
            <c:invertIfNegative val="0"/>
            <c:bubble3D val="0"/>
            <c:extLst>
              <c:ext xmlns:c16="http://schemas.microsoft.com/office/drawing/2014/chart" uri="{C3380CC4-5D6E-409C-BE32-E72D297353CC}">
                <c16:uniqueId val="{00000000-89E8-4F92-9B36-4C4015EC63E7}"/>
              </c:ext>
            </c:extLst>
          </c:dPt>
          <c:dPt>
            <c:idx val="1"/>
            <c:invertIfNegative val="0"/>
            <c:bubble3D val="0"/>
            <c:extLst>
              <c:ext xmlns:c16="http://schemas.microsoft.com/office/drawing/2014/chart" uri="{C3380CC4-5D6E-409C-BE32-E72D297353CC}">
                <c16:uniqueId val="{00000001-89E8-4F92-9B36-4C4015EC63E7}"/>
              </c:ext>
            </c:extLst>
          </c:dPt>
          <c:dPt>
            <c:idx val="2"/>
            <c:invertIfNegative val="0"/>
            <c:bubble3D val="0"/>
            <c:extLst>
              <c:ext xmlns:c16="http://schemas.microsoft.com/office/drawing/2014/chart" uri="{C3380CC4-5D6E-409C-BE32-E72D297353CC}">
                <c16:uniqueId val="{00000002-89E8-4F92-9B36-4C4015EC63E7}"/>
              </c:ext>
            </c:extLst>
          </c:dPt>
          <c:dPt>
            <c:idx val="3"/>
            <c:invertIfNegative val="0"/>
            <c:bubble3D val="0"/>
            <c:extLst>
              <c:ext xmlns:c16="http://schemas.microsoft.com/office/drawing/2014/chart" uri="{C3380CC4-5D6E-409C-BE32-E72D297353CC}">
                <c16:uniqueId val="{00000003-89E8-4F92-9B36-4C4015EC63E7}"/>
              </c:ext>
            </c:extLst>
          </c:dPt>
          <c:dPt>
            <c:idx val="4"/>
            <c:invertIfNegative val="0"/>
            <c:bubble3D val="0"/>
            <c:extLst>
              <c:ext xmlns:c16="http://schemas.microsoft.com/office/drawing/2014/chart" uri="{C3380CC4-5D6E-409C-BE32-E72D297353CC}">
                <c16:uniqueId val="{00000004-89E8-4F92-9B36-4C4015EC63E7}"/>
              </c:ext>
            </c:extLst>
          </c:dPt>
          <c:dPt>
            <c:idx val="5"/>
            <c:invertIfNegative val="0"/>
            <c:bubble3D val="0"/>
            <c:extLst>
              <c:ext xmlns:c16="http://schemas.microsoft.com/office/drawing/2014/chart" uri="{C3380CC4-5D6E-409C-BE32-E72D297353CC}">
                <c16:uniqueId val="{00000005-89E8-4F92-9B36-4C4015EC63E7}"/>
              </c:ext>
            </c:extLst>
          </c:dPt>
          <c:dPt>
            <c:idx val="6"/>
            <c:invertIfNegative val="0"/>
            <c:bubble3D val="0"/>
            <c:extLst>
              <c:ext xmlns:c16="http://schemas.microsoft.com/office/drawing/2014/chart" uri="{C3380CC4-5D6E-409C-BE32-E72D297353CC}">
                <c16:uniqueId val="{00000006-89E8-4F92-9B36-4C4015EC63E7}"/>
              </c:ext>
            </c:extLst>
          </c:dPt>
          <c:dPt>
            <c:idx val="7"/>
            <c:invertIfNegative val="0"/>
            <c:bubble3D val="0"/>
            <c:extLst>
              <c:ext xmlns:c16="http://schemas.microsoft.com/office/drawing/2014/chart" uri="{C3380CC4-5D6E-409C-BE32-E72D297353CC}">
                <c16:uniqueId val="{00000007-89E8-4F92-9B36-4C4015EC63E7}"/>
              </c:ext>
            </c:extLst>
          </c:dPt>
          <c:cat>
            <c:strRef>
              <c:f>duration!$B$1:$L$1</c:f>
              <c:strCache>
                <c:ptCount val="11"/>
                <c:pt idx="0">
                  <c:v>T-bills</c:v>
                </c:pt>
                <c:pt idx="1">
                  <c:v>2-year U.S. Treasury note</c:v>
                </c:pt>
                <c:pt idx="2">
                  <c:v>5-year U.S. Treasury note</c:v>
                </c:pt>
                <c:pt idx="3">
                  <c:v>10-year U.S. Treasury note</c:v>
                </c:pt>
                <c:pt idx="4">
                  <c:v>30-year U.S. Treasury bond</c:v>
                </c:pt>
                <c:pt idx="5">
                  <c:v>IG taxable fixed Income</c:v>
                </c:pt>
                <c:pt idx="6">
                  <c:v>IG corporates</c:v>
                </c:pt>
                <c:pt idx="7">
                  <c:v>High yield</c:v>
                </c:pt>
                <c:pt idx="8">
                  <c:v>Asset-backed securities</c:v>
                </c:pt>
                <c:pt idx="9">
                  <c:v>Mortgage-backed securities</c:v>
                </c:pt>
                <c:pt idx="10">
                  <c:v>Municipals</c:v>
                </c:pt>
              </c:strCache>
            </c:strRef>
          </c:cat>
          <c:val>
            <c:numRef>
              <c:f>duration!$B$2:$L$2</c:f>
              <c:numCache>
                <c:formatCode>General</c:formatCode>
                <c:ptCount val="11"/>
                <c:pt idx="0">
                  <c:v>5.4089970000000003</c:v>
                </c:pt>
                <c:pt idx="1">
                  <c:v>6.1391564577379256</c:v>
                </c:pt>
                <c:pt idx="2">
                  <c:v>8.3543678743437457</c:v>
                </c:pt>
                <c:pt idx="3">
                  <c:v>11.812082919010122</c:v>
                </c:pt>
                <c:pt idx="4">
                  <c:v>20.577862568526044</c:v>
                </c:pt>
                <c:pt idx="5">
                  <c:v>10.771380000000001</c:v>
                </c:pt>
                <c:pt idx="6">
                  <c:v>12.149421999999999</c:v>
                </c:pt>
                <c:pt idx="7">
                  <c:v>10.746560000000001</c:v>
                </c:pt>
                <c:pt idx="8">
                  <c:v>7.6639590000000002</c:v>
                </c:pt>
                <c:pt idx="9">
                  <c:v>10.577263</c:v>
                </c:pt>
                <c:pt idx="10">
                  <c:v>9.2640910000000005</c:v>
                </c:pt>
              </c:numCache>
            </c:numRef>
          </c:val>
          <c:extLst>
            <c:ext xmlns:c16="http://schemas.microsoft.com/office/drawing/2014/chart" uri="{C3380CC4-5D6E-409C-BE32-E72D297353CC}">
              <c16:uniqueId val="{00000008-89E8-4F92-9B36-4C4015EC63E7}"/>
            </c:ext>
          </c:extLst>
        </c:ser>
        <c:ser>
          <c:idx val="1"/>
          <c:order val="1"/>
          <c:tx>
            <c:strRef>
              <c:f>duration!$A$3</c:f>
              <c:strCache>
                <c:ptCount val="1"/>
                <c:pt idx="0">
                  <c:v>1% rise</c:v>
                </c:pt>
              </c:strCache>
            </c:strRef>
          </c:tx>
          <c:spPr>
            <a:pattFill prst="trellis">
              <a:fgClr>
                <a:srgbClr val="5A469B"/>
              </a:fgClr>
              <a:bgClr>
                <a:srgbClr val="FFFFFF"/>
              </a:bgClr>
            </a:pattFill>
            <a:ln w="19050">
              <a:noFill/>
              <a:prstDash val="dash"/>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89E8-4F92-9B36-4C4015EC63E7}"/>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9E8-4F92-9B36-4C4015EC63E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3C3C3C"/>
                    </a:solidFill>
                    <a:latin typeface="Wells Fargo Sans" panose="020B050302020302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duration!$B$1:$L$1</c:f>
              <c:strCache>
                <c:ptCount val="11"/>
                <c:pt idx="0">
                  <c:v>T-bills</c:v>
                </c:pt>
                <c:pt idx="1">
                  <c:v>2-year U.S. Treasury note</c:v>
                </c:pt>
                <c:pt idx="2">
                  <c:v>5-year U.S. Treasury note</c:v>
                </c:pt>
                <c:pt idx="3">
                  <c:v>10-year U.S. Treasury note</c:v>
                </c:pt>
                <c:pt idx="4">
                  <c:v>30-year U.S. Treasury bond</c:v>
                </c:pt>
                <c:pt idx="5">
                  <c:v>IG taxable fixed Income</c:v>
                </c:pt>
                <c:pt idx="6">
                  <c:v>IG corporates</c:v>
                </c:pt>
                <c:pt idx="7">
                  <c:v>High yield</c:v>
                </c:pt>
                <c:pt idx="8">
                  <c:v>Asset-backed securities</c:v>
                </c:pt>
                <c:pt idx="9">
                  <c:v>Mortgage-backed securities</c:v>
                </c:pt>
                <c:pt idx="10">
                  <c:v>Municipals</c:v>
                </c:pt>
              </c:strCache>
            </c:strRef>
          </c:cat>
          <c:val>
            <c:numRef>
              <c:f>duration!$B$3:$L$3</c:f>
              <c:numCache>
                <c:formatCode>General</c:formatCode>
                <c:ptCount val="11"/>
                <c:pt idx="0">
                  <c:v>5.1040470000000004</c:v>
                </c:pt>
                <c:pt idx="1">
                  <c:v>2.3606435422620748</c:v>
                </c:pt>
                <c:pt idx="2">
                  <c:v>-0.66016787434374535</c:v>
                </c:pt>
                <c:pt idx="3">
                  <c:v>-4.0538829190101211</c:v>
                </c:pt>
                <c:pt idx="4">
                  <c:v>-12.521462568526045</c:v>
                </c:pt>
                <c:pt idx="5">
                  <c:v>-1.7103899999999994</c:v>
                </c:pt>
                <c:pt idx="6">
                  <c:v>-2.0369820000000001</c:v>
                </c:pt>
                <c:pt idx="7">
                  <c:v>4.439546</c:v>
                </c:pt>
                <c:pt idx="8">
                  <c:v>2.2557309999999995</c:v>
                </c:pt>
                <c:pt idx="9">
                  <c:v>-1.211627</c:v>
                </c:pt>
                <c:pt idx="10">
                  <c:v>-2.8311949999999997</c:v>
                </c:pt>
              </c:numCache>
            </c:numRef>
          </c:val>
          <c:extLst>
            <c:ext xmlns:c16="http://schemas.microsoft.com/office/drawing/2014/chart" uri="{C3380CC4-5D6E-409C-BE32-E72D297353CC}">
              <c16:uniqueId val="{0000000B-89E8-4F92-9B36-4C4015EC63E7}"/>
            </c:ext>
          </c:extLst>
        </c:ser>
        <c:dLbls>
          <c:showLegendKey val="0"/>
          <c:showVal val="0"/>
          <c:showCatName val="0"/>
          <c:showSerName val="0"/>
          <c:showPercent val="0"/>
          <c:showBubbleSize val="0"/>
        </c:dLbls>
        <c:gapWidth val="150"/>
        <c:axId val="476422087"/>
        <c:axId val="476418479"/>
      </c:barChart>
      <c:catAx>
        <c:axId val="476422087"/>
        <c:scaling>
          <c:orientation val="maxMin"/>
        </c:scaling>
        <c:delete val="0"/>
        <c:axPos val="l"/>
        <c:majorGridlines>
          <c:spPr>
            <a:ln w="9525" cap="flat" cmpd="sng" algn="ctr">
              <a:noFill/>
              <a:round/>
            </a:ln>
            <a:effectLst/>
          </c:spPr>
        </c:majorGridlines>
        <c:numFmt formatCode="General" sourceLinked="1"/>
        <c:majorTickMark val="out"/>
        <c:minorTickMark val="none"/>
        <c:tickLblPos val="low"/>
        <c:spPr>
          <a:noFill/>
          <a:ln w="9525" cap="flat" cmpd="sng" algn="ctr">
            <a:solidFill>
              <a:srgbClr val="3C3C3C"/>
            </a:solidFill>
            <a:round/>
          </a:ln>
          <a:effectLst/>
        </c:spPr>
        <c:txPr>
          <a:bodyPr rot="0" spcFirstLastPara="1" vertOverflow="ellipsis" wrap="square" anchor="ctr" anchorCtr="1"/>
          <a:lstStyle/>
          <a:p>
            <a:pPr>
              <a:defRPr sz="900" b="0" i="0" u="none" strike="noStrike" kern="1200" baseline="0">
                <a:solidFill>
                  <a:srgbClr val="3C3C3C"/>
                </a:solidFill>
                <a:latin typeface="Wells Fargo Sans" panose="020B0503020203020204" pitchFamily="34" charset="0"/>
                <a:ea typeface="+mn-ea"/>
                <a:cs typeface="+mn-cs"/>
              </a:defRPr>
            </a:pPr>
            <a:endParaRPr lang="en-US"/>
          </a:p>
        </c:txPr>
        <c:crossAx val="476418479"/>
        <c:crosses val="autoZero"/>
        <c:auto val="1"/>
        <c:lblAlgn val="ctr"/>
        <c:lblOffset val="100"/>
        <c:noMultiLvlLbl val="0"/>
      </c:catAx>
      <c:valAx>
        <c:axId val="476418479"/>
        <c:scaling>
          <c:orientation val="minMax"/>
        </c:scaling>
        <c:delete val="0"/>
        <c:axPos val="t"/>
        <c:majorGridlines>
          <c:spPr>
            <a:ln w="9525" cap="flat" cmpd="sng" algn="ctr">
              <a:noFill/>
              <a:round/>
              <a:tailEnd type="none"/>
            </a:ln>
            <a:effectLst/>
          </c:spPr>
        </c:majorGridlines>
        <c:title>
          <c:tx>
            <c:rich>
              <a:bodyPr rot="0" spcFirstLastPara="1" vertOverflow="ellipsis" vert="horz" wrap="square" anchor="ctr" anchorCtr="1"/>
              <a:lstStyle/>
              <a:p>
                <a:pPr>
                  <a:defRPr sz="1000" b="1" i="0" u="none" strike="noStrike" kern="1200" baseline="0">
                    <a:solidFill>
                      <a:srgbClr val="3C3C3C"/>
                    </a:solidFill>
                    <a:latin typeface="Wells Fargo Sans" panose="020B0503020203020204" pitchFamily="34" charset="0"/>
                    <a:ea typeface="+mn-ea"/>
                    <a:cs typeface="+mn-cs"/>
                  </a:defRPr>
                </a:pPr>
                <a:r>
                  <a:rPr lang="en-US" sz="1000" b="1" dirty="0"/>
                  <a:t>Total return (%)</a:t>
                </a:r>
              </a:p>
            </c:rich>
          </c:tx>
          <c:layout>
            <c:manualLayout>
              <c:xMode val="edge"/>
              <c:yMode val="edge"/>
              <c:x val="0.56356406941669601"/>
              <c:y val="0.91749005925157556"/>
            </c:manualLayout>
          </c:layout>
          <c:overlay val="0"/>
          <c:spPr>
            <a:noFill/>
            <a:ln>
              <a:noFill/>
            </a:ln>
            <a:effectLst/>
          </c:spPr>
        </c:title>
        <c:numFmt formatCode="#,##0" sourceLinked="0"/>
        <c:majorTickMark val="out"/>
        <c:minorTickMark val="none"/>
        <c:tickLblPos val="high"/>
        <c:spPr>
          <a:noFill/>
          <a:ln>
            <a:solidFill>
              <a:srgbClr val="3C3C3C"/>
            </a:solidFill>
          </a:ln>
          <a:effectLst>
            <a:softEdge rad="139700"/>
          </a:effectLst>
        </c:spPr>
        <c:txPr>
          <a:bodyPr rot="-60000000" spcFirstLastPara="1" vertOverflow="ellipsis" vert="horz" wrap="square" anchor="ctr" anchorCtr="1"/>
          <a:lstStyle/>
          <a:p>
            <a:pPr>
              <a:defRPr sz="1000" b="0" i="0" u="none" strike="noStrike" kern="1200" baseline="0">
                <a:solidFill>
                  <a:srgbClr val="3C3C3C"/>
                </a:solidFill>
                <a:latin typeface="Wells Fargo Sans" panose="020B0503020203020204" pitchFamily="34" charset="0"/>
                <a:ea typeface="+mn-ea"/>
                <a:cs typeface="+mn-cs"/>
              </a:defRPr>
            </a:pPr>
            <a:endParaRPr lang="en-US"/>
          </a:p>
        </c:txPr>
        <c:crossAx val="476422087"/>
        <c:crosses val="autoZero"/>
        <c:crossBetween val="between"/>
      </c:valAx>
      <c:spPr>
        <a:solidFill>
          <a:srgbClr val="FFFFFF"/>
        </a:solidFill>
        <a:ln>
          <a:noFill/>
        </a:ln>
        <a:effectLst/>
      </c:spPr>
    </c:plotArea>
    <c:legend>
      <c:legendPos val="b"/>
      <c:layout>
        <c:manualLayout>
          <c:xMode val="edge"/>
          <c:yMode val="edge"/>
          <c:x val="0.40095067967250364"/>
          <c:y val="0.96286906501956715"/>
          <c:w val="0.19809864065499275"/>
          <c:h val="3.7130934980432836E-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3C3C3C"/>
              </a:solidFill>
              <a:latin typeface="Wells Fargo Sans" panose="020B0503020203020204" pitchFamily="34" charset="0"/>
              <a:ea typeface="+mn-ea"/>
              <a:cs typeface="+mn-cs"/>
            </a:defRPr>
          </a:pPr>
          <a:endParaRPr lang="en-US"/>
        </a:p>
      </c:txPr>
    </c:legend>
    <c:plotVisOnly val="1"/>
    <c:dispBlanksAs val="gap"/>
    <c:showDLblsOverMax val="0"/>
  </c:chart>
  <c:spPr>
    <a:solidFill>
      <a:srgbClr val="F2F2F2">
        <a:alpha val="60000"/>
      </a:srgbClr>
    </a:solidFill>
    <a:ln w="9525" cap="flat" cmpd="sng" algn="ctr">
      <a:noFill/>
      <a:round/>
    </a:ln>
    <a:effectLst/>
  </c:spPr>
  <c:txPr>
    <a:bodyPr/>
    <a:lstStyle/>
    <a:p>
      <a:pPr>
        <a:defRPr sz="800">
          <a:solidFill>
            <a:srgbClr val="3C3C3C"/>
          </a:solidFill>
          <a:latin typeface="Wells Fargo Sans" panose="020B0503020203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26494092391804"/>
          <c:y val="0.13159828705622326"/>
          <c:w val="0.82975740652226782"/>
          <c:h val="0.7209517076619294"/>
        </c:manualLayout>
      </c:layout>
      <c:lineChart>
        <c:grouping val="standard"/>
        <c:varyColors val="0"/>
        <c:ser>
          <c:idx val="1"/>
          <c:order val="0"/>
          <c:tx>
            <c:strRef>
              <c:f>'housing mkt'!$AO$1</c:f>
              <c:strCache>
                <c:ptCount val="1"/>
                <c:pt idx="0">
                  <c:v>NAR Housing Affordability Fixed Mortgage Index — U.S.</c:v>
                </c:pt>
              </c:strCache>
            </c:strRef>
          </c:tx>
          <c:spPr>
            <a:ln w="19050" cmpd="sng">
              <a:solidFill>
                <a:srgbClr val="E9692C"/>
              </a:solidFill>
            </a:ln>
          </c:spPr>
          <c:marker>
            <c:symbol val="none"/>
          </c:marker>
          <c:cat>
            <c:numRef>
              <c:f>'housing mkt'!$AN$2:$AN$550</c:f>
              <c:numCache>
                <c:formatCode>m/d/yyyy</c:formatCode>
                <c:ptCount val="549"/>
                <c:pt idx="0">
                  <c:v>29982</c:v>
                </c:pt>
                <c:pt idx="1">
                  <c:v>30010</c:v>
                </c:pt>
                <c:pt idx="2">
                  <c:v>30041</c:v>
                </c:pt>
                <c:pt idx="3">
                  <c:v>30071</c:v>
                </c:pt>
                <c:pt idx="4">
                  <c:v>30102</c:v>
                </c:pt>
                <c:pt idx="5">
                  <c:v>30132</c:v>
                </c:pt>
                <c:pt idx="6">
                  <c:v>30163</c:v>
                </c:pt>
                <c:pt idx="7">
                  <c:v>30194</c:v>
                </c:pt>
                <c:pt idx="8">
                  <c:v>30224</c:v>
                </c:pt>
                <c:pt idx="9">
                  <c:v>30255</c:v>
                </c:pt>
                <c:pt idx="10">
                  <c:v>30285</c:v>
                </c:pt>
                <c:pt idx="11">
                  <c:v>30316</c:v>
                </c:pt>
                <c:pt idx="12">
                  <c:v>30347</c:v>
                </c:pt>
                <c:pt idx="13">
                  <c:v>30375</c:v>
                </c:pt>
                <c:pt idx="14">
                  <c:v>30406</c:v>
                </c:pt>
                <c:pt idx="15">
                  <c:v>30436</c:v>
                </c:pt>
                <c:pt idx="16">
                  <c:v>30467</c:v>
                </c:pt>
                <c:pt idx="17">
                  <c:v>30497</c:v>
                </c:pt>
                <c:pt idx="18">
                  <c:v>30528</c:v>
                </c:pt>
                <c:pt idx="19">
                  <c:v>30559</c:v>
                </c:pt>
                <c:pt idx="20">
                  <c:v>30589</c:v>
                </c:pt>
                <c:pt idx="21">
                  <c:v>30620</c:v>
                </c:pt>
                <c:pt idx="22">
                  <c:v>30650</c:v>
                </c:pt>
                <c:pt idx="23">
                  <c:v>30681</c:v>
                </c:pt>
                <c:pt idx="24">
                  <c:v>30712</c:v>
                </c:pt>
                <c:pt idx="25">
                  <c:v>30741</c:v>
                </c:pt>
                <c:pt idx="26">
                  <c:v>30772</c:v>
                </c:pt>
                <c:pt idx="27">
                  <c:v>30802</c:v>
                </c:pt>
                <c:pt idx="28">
                  <c:v>30833</c:v>
                </c:pt>
                <c:pt idx="29">
                  <c:v>30863</c:v>
                </c:pt>
                <c:pt idx="30">
                  <c:v>30894</c:v>
                </c:pt>
                <c:pt idx="31">
                  <c:v>30925</c:v>
                </c:pt>
                <c:pt idx="32">
                  <c:v>30955</c:v>
                </c:pt>
                <c:pt idx="33">
                  <c:v>30986</c:v>
                </c:pt>
                <c:pt idx="34">
                  <c:v>31016</c:v>
                </c:pt>
                <c:pt idx="35">
                  <c:v>31047</c:v>
                </c:pt>
                <c:pt idx="36">
                  <c:v>31078</c:v>
                </c:pt>
                <c:pt idx="37">
                  <c:v>31106</c:v>
                </c:pt>
                <c:pt idx="38">
                  <c:v>31137</c:v>
                </c:pt>
                <c:pt idx="39">
                  <c:v>31167</c:v>
                </c:pt>
                <c:pt idx="40">
                  <c:v>31198</c:v>
                </c:pt>
                <c:pt idx="41">
                  <c:v>31228</c:v>
                </c:pt>
                <c:pt idx="42">
                  <c:v>31259</c:v>
                </c:pt>
                <c:pt idx="43">
                  <c:v>31290</c:v>
                </c:pt>
                <c:pt idx="44">
                  <c:v>31320</c:v>
                </c:pt>
                <c:pt idx="45">
                  <c:v>31351</c:v>
                </c:pt>
                <c:pt idx="46">
                  <c:v>31381</c:v>
                </c:pt>
                <c:pt idx="47">
                  <c:v>31412</c:v>
                </c:pt>
                <c:pt idx="48">
                  <c:v>31443</c:v>
                </c:pt>
                <c:pt idx="49">
                  <c:v>31471</c:v>
                </c:pt>
                <c:pt idx="50">
                  <c:v>31502</c:v>
                </c:pt>
                <c:pt idx="51">
                  <c:v>31532</c:v>
                </c:pt>
                <c:pt idx="52">
                  <c:v>31563</c:v>
                </c:pt>
                <c:pt idx="53">
                  <c:v>31593</c:v>
                </c:pt>
                <c:pt idx="54">
                  <c:v>31624</c:v>
                </c:pt>
                <c:pt idx="55">
                  <c:v>31655</c:v>
                </c:pt>
                <c:pt idx="56">
                  <c:v>31685</c:v>
                </c:pt>
                <c:pt idx="57">
                  <c:v>31716</c:v>
                </c:pt>
                <c:pt idx="58">
                  <c:v>31746</c:v>
                </c:pt>
                <c:pt idx="59">
                  <c:v>31777</c:v>
                </c:pt>
                <c:pt idx="60">
                  <c:v>31808</c:v>
                </c:pt>
                <c:pt idx="61">
                  <c:v>31836</c:v>
                </c:pt>
                <c:pt idx="62">
                  <c:v>31867</c:v>
                </c:pt>
                <c:pt idx="63">
                  <c:v>31897</c:v>
                </c:pt>
                <c:pt idx="64">
                  <c:v>31928</c:v>
                </c:pt>
                <c:pt idx="65">
                  <c:v>31958</c:v>
                </c:pt>
                <c:pt idx="66">
                  <c:v>31989</c:v>
                </c:pt>
                <c:pt idx="67">
                  <c:v>32020</c:v>
                </c:pt>
                <c:pt idx="68">
                  <c:v>32050</c:v>
                </c:pt>
                <c:pt idx="69">
                  <c:v>32081</c:v>
                </c:pt>
                <c:pt idx="70">
                  <c:v>32111</c:v>
                </c:pt>
                <c:pt idx="71">
                  <c:v>32142</c:v>
                </c:pt>
                <c:pt idx="72">
                  <c:v>32173</c:v>
                </c:pt>
                <c:pt idx="73">
                  <c:v>32202</c:v>
                </c:pt>
                <c:pt idx="74">
                  <c:v>32233</c:v>
                </c:pt>
                <c:pt idx="75">
                  <c:v>32263</c:v>
                </c:pt>
                <c:pt idx="76">
                  <c:v>32294</c:v>
                </c:pt>
                <c:pt idx="77">
                  <c:v>32324</c:v>
                </c:pt>
                <c:pt idx="78">
                  <c:v>32355</c:v>
                </c:pt>
                <c:pt idx="79">
                  <c:v>32386</c:v>
                </c:pt>
                <c:pt idx="80">
                  <c:v>32416</c:v>
                </c:pt>
                <c:pt idx="81">
                  <c:v>32447</c:v>
                </c:pt>
                <c:pt idx="82">
                  <c:v>32477</c:v>
                </c:pt>
                <c:pt idx="83">
                  <c:v>32508</c:v>
                </c:pt>
                <c:pt idx="84">
                  <c:v>32539</c:v>
                </c:pt>
                <c:pt idx="85">
                  <c:v>32567</c:v>
                </c:pt>
                <c:pt idx="86">
                  <c:v>32598</c:v>
                </c:pt>
                <c:pt idx="87">
                  <c:v>32628</c:v>
                </c:pt>
                <c:pt idx="88">
                  <c:v>32659</c:v>
                </c:pt>
                <c:pt idx="89">
                  <c:v>32689</c:v>
                </c:pt>
                <c:pt idx="90">
                  <c:v>32720</c:v>
                </c:pt>
                <c:pt idx="91">
                  <c:v>32751</c:v>
                </c:pt>
                <c:pt idx="92">
                  <c:v>32781</c:v>
                </c:pt>
                <c:pt idx="93">
                  <c:v>32812</c:v>
                </c:pt>
                <c:pt idx="94">
                  <c:v>32842</c:v>
                </c:pt>
                <c:pt idx="95">
                  <c:v>32873</c:v>
                </c:pt>
                <c:pt idx="96">
                  <c:v>32904</c:v>
                </c:pt>
                <c:pt idx="97">
                  <c:v>32932</c:v>
                </c:pt>
                <c:pt idx="98">
                  <c:v>32963</c:v>
                </c:pt>
                <c:pt idx="99">
                  <c:v>32993</c:v>
                </c:pt>
                <c:pt idx="100">
                  <c:v>33024</c:v>
                </c:pt>
                <c:pt idx="101">
                  <c:v>33054</c:v>
                </c:pt>
                <c:pt idx="102">
                  <c:v>33085</c:v>
                </c:pt>
                <c:pt idx="103">
                  <c:v>33116</c:v>
                </c:pt>
                <c:pt idx="104">
                  <c:v>33146</c:v>
                </c:pt>
                <c:pt idx="105">
                  <c:v>33177</c:v>
                </c:pt>
                <c:pt idx="106">
                  <c:v>33207</c:v>
                </c:pt>
                <c:pt idx="107">
                  <c:v>33238</c:v>
                </c:pt>
                <c:pt idx="108">
                  <c:v>33269</c:v>
                </c:pt>
                <c:pt idx="109">
                  <c:v>33297</c:v>
                </c:pt>
                <c:pt idx="110">
                  <c:v>33328</c:v>
                </c:pt>
                <c:pt idx="111">
                  <c:v>33358</c:v>
                </c:pt>
                <c:pt idx="112">
                  <c:v>33389</c:v>
                </c:pt>
                <c:pt idx="113">
                  <c:v>33419</c:v>
                </c:pt>
                <c:pt idx="114">
                  <c:v>33450</c:v>
                </c:pt>
                <c:pt idx="115">
                  <c:v>33481</c:v>
                </c:pt>
                <c:pt idx="116">
                  <c:v>33511</c:v>
                </c:pt>
                <c:pt idx="117">
                  <c:v>33542</c:v>
                </c:pt>
                <c:pt idx="118">
                  <c:v>33572</c:v>
                </c:pt>
                <c:pt idx="119">
                  <c:v>33603</c:v>
                </c:pt>
                <c:pt idx="120">
                  <c:v>33634</c:v>
                </c:pt>
                <c:pt idx="121">
                  <c:v>33663</c:v>
                </c:pt>
                <c:pt idx="122">
                  <c:v>33694</c:v>
                </c:pt>
                <c:pt idx="123">
                  <c:v>33724</c:v>
                </c:pt>
                <c:pt idx="124">
                  <c:v>33755</c:v>
                </c:pt>
                <c:pt idx="125">
                  <c:v>33785</c:v>
                </c:pt>
                <c:pt idx="126">
                  <c:v>33816</c:v>
                </c:pt>
                <c:pt idx="127">
                  <c:v>33847</c:v>
                </c:pt>
                <c:pt idx="128">
                  <c:v>33877</c:v>
                </c:pt>
                <c:pt idx="129">
                  <c:v>33908</c:v>
                </c:pt>
                <c:pt idx="130">
                  <c:v>33938</c:v>
                </c:pt>
                <c:pt idx="131">
                  <c:v>33969</c:v>
                </c:pt>
                <c:pt idx="132">
                  <c:v>34000</c:v>
                </c:pt>
                <c:pt idx="133">
                  <c:v>34028</c:v>
                </c:pt>
                <c:pt idx="134">
                  <c:v>34059</c:v>
                </c:pt>
                <c:pt idx="135">
                  <c:v>34089</c:v>
                </c:pt>
                <c:pt idx="136">
                  <c:v>34120</c:v>
                </c:pt>
                <c:pt idx="137">
                  <c:v>34150</c:v>
                </c:pt>
                <c:pt idx="138">
                  <c:v>34181</c:v>
                </c:pt>
                <c:pt idx="139">
                  <c:v>34212</c:v>
                </c:pt>
                <c:pt idx="140">
                  <c:v>34242</c:v>
                </c:pt>
                <c:pt idx="141">
                  <c:v>34273</c:v>
                </c:pt>
                <c:pt idx="142">
                  <c:v>34303</c:v>
                </c:pt>
                <c:pt idx="143">
                  <c:v>34334</c:v>
                </c:pt>
                <c:pt idx="144">
                  <c:v>34365</c:v>
                </c:pt>
                <c:pt idx="145">
                  <c:v>34393</c:v>
                </c:pt>
                <c:pt idx="146">
                  <c:v>34424</c:v>
                </c:pt>
                <c:pt idx="147">
                  <c:v>34454</c:v>
                </c:pt>
                <c:pt idx="148">
                  <c:v>34485</c:v>
                </c:pt>
                <c:pt idx="149">
                  <c:v>34515</c:v>
                </c:pt>
                <c:pt idx="150">
                  <c:v>34546</c:v>
                </c:pt>
                <c:pt idx="151">
                  <c:v>34577</c:v>
                </c:pt>
                <c:pt idx="152">
                  <c:v>34607</c:v>
                </c:pt>
                <c:pt idx="153">
                  <c:v>34638</c:v>
                </c:pt>
                <c:pt idx="154">
                  <c:v>34668</c:v>
                </c:pt>
                <c:pt idx="155">
                  <c:v>34699</c:v>
                </c:pt>
                <c:pt idx="156">
                  <c:v>34730</c:v>
                </c:pt>
                <c:pt idx="157">
                  <c:v>34758</c:v>
                </c:pt>
                <c:pt idx="158">
                  <c:v>34789</c:v>
                </c:pt>
                <c:pt idx="159">
                  <c:v>34819</c:v>
                </c:pt>
                <c:pt idx="160">
                  <c:v>34850</c:v>
                </c:pt>
                <c:pt idx="161">
                  <c:v>34880</c:v>
                </c:pt>
                <c:pt idx="162">
                  <c:v>34911</c:v>
                </c:pt>
                <c:pt idx="163">
                  <c:v>34942</c:v>
                </c:pt>
                <c:pt idx="164">
                  <c:v>34972</c:v>
                </c:pt>
                <c:pt idx="165">
                  <c:v>35003</c:v>
                </c:pt>
                <c:pt idx="166">
                  <c:v>35033</c:v>
                </c:pt>
                <c:pt idx="167">
                  <c:v>35064</c:v>
                </c:pt>
                <c:pt idx="168">
                  <c:v>35095</c:v>
                </c:pt>
                <c:pt idx="169">
                  <c:v>35124</c:v>
                </c:pt>
                <c:pt idx="170">
                  <c:v>35155</c:v>
                </c:pt>
                <c:pt idx="171">
                  <c:v>35185</c:v>
                </c:pt>
                <c:pt idx="172">
                  <c:v>35216</c:v>
                </c:pt>
                <c:pt idx="173">
                  <c:v>35246</c:v>
                </c:pt>
                <c:pt idx="174">
                  <c:v>35277</c:v>
                </c:pt>
                <c:pt idx="175">
                  <c:v>35308</c:v>
                </c:pt>
                <c:pt idx="176">
                  <c:v>35338</c:v>
                </c:pt>
                <c:pt idx="177">
                  <c:v>35369</c:v>
                </c:pt>
                <c:pt idx="178">
                  <c:v>35399</c:v>
                </c:pt>
                <c:pt idx="179">
                  <c:v>35430</c:v>
                </c:pt>
                <c:pt idx="180">
                  <c:v>35461</c:v>
                </c:pt>
                <c:pt idx="181">
                  <c:v>35489</c:v>
                </c:pt>
                <c:pt idx="182">
                  <c:v>35520</c:v>
                </c:pt>
                <c:pt idx="183">
                  <c:v>35550</c:v>
                </c:pt>
                <c:pt idx="184">
                  <c:v>35581</c:v>
                </c:pt>
                <c:pt idx="185">
                  <c:v>35611</c:v>
                </c:pt>
                <c:pt idx="186">
                  <c:v>35642</c:v>
                </c:pt>
                <c:pt idx="187">
                  <c:v>35673</c:v>
                </c:pt>
                <c:pt idx="188">
                  <c:v>35703</c:v>
                </c:pt>
                <c:pt idx="189">
                  <c:v>35734</c:v>
                </c:pt>
                <c:pt idx="190">
                  <c:v>35764</c:v>
                </c:pt>
                <c:pt idx="191">
                  <c:v>35795</c:v>
                </c:pt>
                <c:pt idx="192">
                  <c:v>35826</c:v>
                </c:pt>
                <c:pt idx="193">
                  <c:v>35854</c:v>
                </c:pt>
                <c:pt idx="194">
                  <c:v>35885</c:v>
                </c:pt>
                <c:pt idx="195">
                  <c:v>35915</c:v>
                </c:pt>
                <c:pt idx="196">
                  <c:v>35946</c:v>
                </c:pt>
                <c:pt idx="197">
                  <c:v>35976</c:v>
                </c:pt>
                <c:pt idx="198">
                  <c:v>36007</c:v>
                </c:pt>
                <c:pt idx="199">
                  <c:v>36038</c:v>
                </c:pt>
                <c:pt idx="200">
                  <c:v>36068</c:v>
                </c:pt>
                <c:pt idx="201">
                  <c:v>36099</c:v>
                </c:pt>
                <c:pt idx="202">
                  <c:v>36129</c:v>
                </c:pt>
                <c:pt idx="203">
                  <c:v>36160</c:v>
                </c:pt>
                <c:pt idx="204">
                  <c:v>36191</c:v>
                </c:pt>
                <c:pt idx="205">
                  <c:v>36219</c:v>
                </c:pt>
                <c:pt idx="206">
                  <c:v>36250</c:v>
                </c:pt>
                <c:pt idx="207">
                  <c:v>36280</c:v>
                </c:pt>
                <c:pt idx="208">
                  <c:v>36311</c:v>
                </c:pt>
                <c:pt idx="209">
                  <c:v>36341</c:v>
                </c:pt>
                <c:pt idx="210">
                  <c:v>36372</c:v>
                </c:pt>
                <c:pt idx="211">
                  <c:v>36403</c:v>
                </c:pt>
                <c:pt idx="212">
                  <c:v>36433</c:v>
                </c:pt>
                <c:pt idx="213">
                  <c:v>36464</c:v>
                </c:pt>
                <c:pt idx="214">
                  <c:v>36494</c:v>
                </c:pt>
                <c:pt idx="215">
                  <c:v>36525</c:v>
                </c:pt>
                <c:pt idx="216">
                  <c:v>36556</c:v>
                </c:pt>
                <c:pt idx="217">
                  <c:v>36585</c:v>
                </c:pt>
                <c:pt idx="218">
                  <c:v>36616</c:v>
                </c:pt>
                <c:pt idx="219">
                  <c:v>36646</c:v>
                </c:pt>
                <c:pt idx="220">
                  <c:v>36677</c:v>
                </c:pt>
                <c:pt idx="221">
                  <c:v>36707</c:v>
                </c:pt>
                <c:pt idx="222">
                  <c:v>36738</c:v>
                </c:pt>
                <c:pt idx="223">
                  <c:v>36769</c:v>
                </c:pt>
                <c:pt idx="224">
                  <c:v>36799</c:v>
                </c:pt>
                <c:pt idx="225">
                  <c:v>36830</c:v>
                </c:pt>
                <c:pt idx="226">
                  <c:v>36860</c:v>
                </c:pt>
                <c:pt idx="227">
                  <c:v>36891</c:v>
                </c:pt>
                <c:pt idx="228">
                  <c:v>36922</c:v>
                </c:pt>
                <c:pt idx="229">
                  <c:v>36950</c:v>
                </c:pt>
                <c:pt idx="230">
                  <c:v>36981</c:v>
                </c:pt>
                <c:pt idx="231">
                  <c:v>37011</c:v>
                </c:pt>
                <c:pt idx="232">
                  <c:v>37042</c:v>
                </c:pt>
                <c:pt idx="233">
                  <c:v>37072</c:v>
                </c:pt>
                <c:pt idx="234">
                  <c:v>37103</c:v>
                </c:pt>
                <c:pt idx="235">
                  <c:v>37134</c:v>
                </c:pt>
                <c:pt idx="236">
                  <c:v>37164</c:v>
                </c:pt>
                <c:pt idx="237">
                  <c:v>37195</c:v>
                </c:pt>
                <c:pt idx="238">
                  <c:v>37225</c:v>
                </c:pt>
                <c:pt idx="239">
                  <c:v>37256</c:v>
                </c:pt>
                <c:pt idx="240">
                  <c:v>37287</c:v>
                </c:pt>
                <c:pt idx="241">
                  <c:v>37315</c:v>
                </c:pt>
                <c:pt idx="242">
                  <c:v>37346</c:v>
                </c:pt>
                <c:pt idx="243">
                  <c:v>37376</c:v>
                </c:pt>
                <c:pt idx="244">
                  <c:v>37407</c:v>
                </c:pt>
                <c:pt idx="245">
                  <c:v>37437</c:v>
                </c:pt>
                <c:pt idx="246">
                  <c:v>37468</c:v>
                </c:pt>
                <c:pt idx="247">
                  <c:v>37499</c:v>
                </c:pt>
                <c:pt idx="248">
                  <c:v>37529</c:v>
                </c:pt>
                <c:pt idx="249">
                  <c:v>37560</c:v>
                </c:pt>
                <c:pt idx="250">
                  <c:v>37590</c:v>
                </c:pt>
                <c:pt idx="251">
                  <c:v>37621</c:v>
                </c:pt>
                <c:pt idx="252">
                  <c:v>37652</c:v>
                </c:pt>
                <c:pt idx="253">
                  <c:v>37680</c:v>
                </c:pt>
                <c:pt idx="254">
                  <c:v>37711</c:v>
                </c:pt>
                <c:pt idx="255">
                  <c:v>37741</c:v>
                </c:pt>
                <c:pt idx="256">
                  <c:v>37772</c:v>
                </c:pt>
                <c:pt idx="257">
                  <c:v>37802</c:v>
                </c:pt>
                <c:pt idx="258">
                  <c:v>37833</c:v>
                </c:pt>
                <c:pt idx="259">
                  <c:v>37864</c:v>
                </c:pt>
                <c:pt idx="260">
                  <c:v>37894</c:v>
                </c:pt>
                <c:pt idx="261">
                  <c:v>37925</c:v>
                </c:pt>
                <c:pt idx="262">
                  <c:v>37955</c:v>
                </c:pt>
                <c:pt idx="263">
                  <c:v>37986</c:v>
                </c:pt>
                <c:pt idx="264">
                  <c:v>38017</c:v>
                </c:pt>
                <c:pt idx="265">
                  <c:v>38046</c:v>
                </c:pt>
                <c:pt idx="266">
                  <c:v>38077</c:v>
                </c:pt>
                <c:pt idx="267">
                  <c:v>38107</c:v>
                </c:pt>
                <c:pt idx="268">
                  <c:v>38138</c:v>
                </c:pt>
                <c:pt idx="269">
                  <c:v>38168</c:v>
                </c:pt>
                <c:pt idx="270">
                  <c:v>38199</c:v>
                </c:pt>
                <c:pt idx="271">
                  <c:v>38230</c:v>
                </c:pt>
                <c:pt idx="272">
                  <c:v>38260</c:v>
                </c:pt>
                <c:pt idx="273">
                  <c:v>38291</c:v>
                </c:pt>
                <c:pt idx="274">
                  <c:v>38321</c:v>
                </c:pt>
                <c:pt idx="275">
                  <c:v>38352</c:v>
                </c:pt>
                <c:pt idx="276">
                  <c:v>38383</c:v>
                </c:pt>
                <c:pt idx="277">
                  <c:v>38411</c:v>
                </c:pt>
                <c:pt idx="278">
                  <c:v>38442</c:v>
                </c:pt>
                <c:pt idx="279">
                  <c:v>38472</c:v>
                </c:pt>
                <c:pt idx="280">
                  <c:v>38503</c:v>
                </c:pt>
                <c:pt idx="281">
                  <c:v>38533</c:v>
                </c:pt>
                <c:pt idx="282">
                  <c:v>38564</c:v>
                </c:pt>
                <c:pt idx="283">
                  <c:v>38595</c:v>
                </c:pt>
                <c:pt idx="284">
                  <c:v>38625</c:v>
                </c:pt>
                <c:pt idx="285">
                  <c:v>38656</c:v>
                </c:pt>
                <c:pt idx="286">
                  <c:v>38686</c:v>
                </c:pt>
                <c:pt idx="287">
                  <c:v>38717</c:v>
                </c:pt>
                <c:pt idx="288">
                  <c:v>38748</c:v>
                </c:pt>
                <c:pt idx="289">
                  <c:v>38776</c:v>
                </c:pt>
                <c:pt idx="290">
                  <c:v>38807</c:v>
                </c:pt>
                <c:pt idx="291">
                  <c:v>38837</c:v>
                </c:pt>
                <c:pt idx="292">
                  <c:v>38868</c:v>
                </c:pt>
                <c:pt idx="293">
                  <c:v>38898</c:v>
                </c:pt>
                <c:pt idx="294">
                  <c:v>38929</c:v>
                </c:pt>
                <c:pt idx="295">
                  <c:v>38960</c:v>
                </c:pt>
                <c:pt idx="296">
                  <c:v>38990</c:v>
                </c:pt>
                <c:pt idx="297">
                  <c:v>39021</c:v>
                </c:pt>
                <c:pt idx="298">
                  <c:v>39051</c:v>
                </c:pt>
                <c:pt idx="299">
                  <c:v>39082</c:v>
                </c:pt>
                <c:pt idx="300">
                  <c:v>39113</c:v>
                </c:pt>
                <c:pt idx="301">
                  <c:v>39141</c:v>
                </c:pt>
                <c:pt idx="302">
                  <c:v>39172</c:v>
                </c:pt>
                <c:pt idx="303">
                  <c:v>39202</c:v>
                </c:pt>
                <c:pt idx="304">
                  <c:v>39233</c:v>
                </c:pt>
                <c:pt idx="305">
                  <c:v>39263</c:v>
                </c:pt>
                <c:pt idx="306">
                  <c:v>39294</c:v>
                </c:pt>
                <c:pt idx="307">
                  <c:v>39325</c:v>
                </c:pt>
                <c:pt idx="308">
                  <c:v>39355</c:v>
                </c:pt>
                <c:pt idx="309">
                  <c:v>39386</c:v>
                </c:pt>
                <c:pt idx="310">
                  <c:v>39416</c:v>
                </c:pt>
                <c:pt idx="311">
                  <c:v>39447</c:v>
                </c:pt>
                <c:pt idx="312">
                  <c:v>39478</c:v>
                </c:pt>
                <c:pt idx="313">
                  <c:v>39507</c:v>
                </c:pt>
                <c:pt idx="314">
                  <c:v>39538</c:v>
                </c:pt>
                <c:pt idx="315">
                  <c:v>39568</c:v>
                </c:pt>
                <c:pt idx="316">
                  <c:v>39599</c:v>
                </c:pt>
                <c:pt idx="317">
                  <c:v>39629</c:v>
                </c:pt>
                <c:pt idx="318">
                  <c:v>39660</c:v>
                </c:pt>
                <c:pt idx="319">
                  <c:v>39691</c:v>
                </c:pt>
                <c:pt idx="320">
                  <c:v>39721</c:v>
                </c:pt>
                <c:pt idx="321">
                  <c:v>39752</c:v>
                </c:pt>
                <c:pt idx="322">
                  <c:v>39782</c:v>
                </c:pt>
                <c:pt idx="323">
                  <c:v>39844</c:v>
                </c:pt>
                <c:pt idx="324">
                  <c:v>39872</c:v>
                </c:pt>
                <c:pt idx="325">
                  <c:v>39903</c:v>
                </c:pt>
                <c:pt idx="326">
                  <c:v>39933</c:v>
                </c:pt>
                <c:pt idx="327">
                  <c:v>39964</c:v>
                </c:pt>
                <c:pt idx="328">
                  <c:v>39994</c:v>
                </c:pt>
                <c:pt idx="329">
                  <c:v>40025</c:v>
                </c:pt>
                <c:pt idx="330">
                  <c:v>40056</c:v>
                </c:pt>
                <c:pt idx="331">
                  <c:v>40086</c:v>
                </c:pt>
                <c:pt idx="332">
                  <c:v>40117</c:v>
                </c:pt>
                <c:pt idx="333">
                  <c:v>40147</c:v>
                </c:pt>
                <c:pt idx="334">
                  <c:v>40178</c:v>
                </c:pt>
                <c:pt idx="335">
                  <c:v>40209</c:v>
                </c:pt>
                <c:pt idx="336">
                  <c:v>40237</c:v>
                </c:pt>
                <c:pt idx="337">
                  <c:v>40268</c:v>
                </c:pt>
                <c:pt idx="338">
                  <c:v>40298</c:v>
                </c:pt>
                <c:pt idx="339">
                  <c:v>40329</c:v>
                </c:pt>
                <c:pt idx="340">
                  <c:v>40359</c:v>
                </c:pt>
                <c:pt idx="341">
                  <c:v>40390</c:v>
                </c:pt>
                <c:pt idx="342">
                  <c:v>40421</c:v>
                </c:pt>
                <c:pt idx="343">
                  <c:v>40451</c:v>
                </c:pt>
                <c:pt idx="344">
                  <c:v>40482</c:v>
                </c:pt>
                <c:pt idx="345">
                  <c:v>40512</c:v>
                </c:pt>
                <c:pt idx="346">
                  <c:v>40543</c:v>
                </c:pt>
                <c:pt idx="347">
                  <c:v>40574</c:v>
                </c:pt>
                <c:pt idx="348">
                  <c:v>40602</c:v>
                </c:pt>
                <c:pt idx="349">
                  <c:v>40633</c:v>
                </c:pt>
                <c:pt idx="350">
                  <c:v>40663</c:v>
                </c:pt>
                <c:pt idx="351">
                  <c:v>40694</c:v>
                </c:pt>
                <c:pt idx="352">
                  <c:v>40724</c:v>
                </c:pt>
                <c:pt idx="353">
                  <c:v>40755</c:v>
                </c:pt>
                <c:pt idx="354">
                  <c:v>40786</c:v>
                </c:pt>
                <c:pt idx="355">
                  <c:v>40816</c:v>
                </c:pt>
                <c:pt idx="356">
                  <c:v>40847</c:v>
                </c:pt>
                <c:pt idx="357">
                  <c:v>40877</c:v>
                </c:pt>
                <c:pt idx="358">
                  <c:v>40908</c:v>
                </c:pt>
                <c:pt idx="359">
                  <c:v>40939</c:v>
                </c:pt>
                <c:pt idx="360">
                  <c:v>40968</c:v>
                </c:pt>
                <c:pt idx="361">
                  <c:v>40999</c:v>
                </c:pt>
                <c:pt idx="362">
                  <c:v>41029</c:v>
                </c:pt>
                <c:pt idx="363">
                  <c:v>41060</c:v>
                </c:pt>
                <c:pt idx="364">
                  <c:v>41090</c:v>
                </c:pt>
                <c:pt idx="365">
                  <c:v>41121</c:v>
                </c:pt>
                <c:pt idx="366">
                  <c:v>41152</c:v>
                </c:pt>
                <c:pt idx="367">
                  <c:v>41182</c:v>
                </c:pt>
                <c:pt idx="368">
                  <c:v>41213</c:v>
                </c:pt>
                <c:pt idx="369">
                  <c:v>41243</c:v>
                </c:pt>
                <c:pt idx="370">
                  <c:v>41274</c:v>
                </c:pt>
                <c:pt idx="371">
                  <c:v>41305</c:v>
                </c:pt>
                <c:pt idx="372">
                  <c:v>41333</c:v>
                </c:pt>
                <c:pt idx="373">
                  <c:v>41364</c:v>
                </c:pt>
                <c:pt idx="374">
                  <c:v>41394</c:v>
                </c:pt>
                <c:pt idx="375">
                  <c:v>41425</c:v>
                </c:pt>
                <c:pt idx="376">
                  <c:v>41455</c:v>
                </c:pt>
                <c:pt idx="377">
                  <c:v>41486</c:v>
                </c:pt>
                <c:pt idx="378">
                  <c:v>41517</c:v>
                </c:pt>
                <c:pt idx="379">
                  <c:v>41547</c:v>
                </c:pt>
                <c:pt idx="380">
                  <c:v>41578</c:v>
                </c:pt>
                <c:pt idx="381">
                  <c:v>41608</c:v>
                </c:pt>
                <c:pt idx="382">
                  <c:v>41639</c:v>
                </c:pt>
                <c:pt idx="383">
                  <c:v>41670</c:v>
                </c:pt>
                <c:pt idx="384">
                  <c:v>41698</c:v>
                </c:pt>
                <c:pt idx="385">
                  <c:v>41729</c:v>
                </c:pt>
                <c:pt idx="386">
                  <c:v>41759</c:v>
                </c:pt>
                <c:pt idx="387">
                  <c:v>41790</c:v>
                </c:pt>
                <c:pt idx="388">
                  <c:v>41820</c:v>
                </c:pt>
                <c:pt idx="389">
                  <c:v>41851</c:v>
                </c:pt>
                <c:pt idx="390">
                  <c:v>41882</c:v>
                </c:pt>
                <c:pt idx="391">
                  <c:v>41912</c:v>
                </c:pt>
                <c:pt idx="392">
                  <c:v>41943</c:v>
                </c:pt>
                <c:pt idx="393">
                  <c:v>41973</c:v>
                </c:pt>
                <c:pt idx="394">
                  <c:v>42004</c:v>
                </c:pt>
                <c:pt idx="395">
                  <c:v>42035</c:v>
                </c:pt>
                <c:pt idx="396">
                  <c:v>42063</c:v>
                </c:pt>
                <c:pt idx="397">
                  <c:v>42094</c:v>
                </c:pt>
                <c:pt idx="398">
                  <c:v>42124</c:v>
                </c:pt>
                <c:pt idx="399">
                  <c:v>42155</c:v>
                </c:pt>
                <c:pt idx="400">
                  <c:v>42185</c:v>
                </c:pt>
                <c:pt idx="401">
                  <c:v>42216</c:v>
                </c:pt>
                <c:pt idx="402">
                  <c:v>42247</c:v>
                </c:pt>
                <c:pt idx="403">
                  <c:v>42277</c:v>
                </c:pt>
                <c:pt idx="404">
                  <c:v>42308</c:v>
                </c:pt>
                <c:pt idx="405">
                  <c:v>42338</c:v>
                </c:pt>
                <c:pt idx="406">
                  <c:v>42369</c:v>
                </c:pt>
                <c:pt idx="407">
                  <c:v>42400</c:v>
                </c:pt>
                <c:pt idx="408">
                  <c:v>42429</c:v>
                </c:pt>
                <c:pt idx="409">
                  <c:v>42460</c:v>
                </c:pt>
                <c:pt idx="410">
                  <c:v>42490</c:v>
                </c:pt>
                <c:pt idx="411">
                  <c:v>42521</c:v>
                </c:pt>
                <c:pt idx="412">
                  <c:v>42551</c:v>
                </c:pt>
                <c:pt idx="413">
                  <c:v>42582</c:v>
                </c:pt>
                <c:pt idx="414">
                  <c:v>42613</c:v>
                </c:pt>
                <c:pt idx="415">
                  <c:v>42643</c:v>
                </c:pt>
                <c:pt idx="416">
                  <c:v>42674</c:v>
                </c:pt>
                <c:pt idx="417">
                  <c:v>42704</c:v>
                </c:pt>
                <c:pt idx="418">
                  <c:v>42735</c:v>
                </c:pt>
                <c:pt idx="419">
                  <c:v>42766</c:v>
                </c:pt>
                <c:pt idx="420">
                  <c:v>42794</c:v>
                </c:pt>
                <c:pt idx="421">
                  <c:v>42825</c:v>
                </c:pt>
                <c:pt idx="422">
                  <c:v>42855</c:v>
                </c:pt>
                <c:pt idx="423">
                  <c:v>42886</c:v>
                </c:pt>
                <c:pt idx="424">
                  <c:v>42916</c:v>
                </c:pt>
                <c:pt idx="425">
                  <c:v>42947</c:v>
                </c:pt>
                <c:pt idx="426">
                  <c:v>42978</c:v>
                </c:pt>
                <c:pt idx="427">
                  <c:v>43008</c:v>
                </c:pt>
                <c:pt idx="428">
                  <c:v>43039</c:v>
                </c:pt>
                <c:pt idx="429">
                  <c:v>43069</c:v>
                </c:pt>
                <c:pt idx="430">
                  <c:v>43100</c:v>
                </c:pt>
                <c:pt idx="431">
                  <c:v>43131</c:v>
                </c:pt>
                <c:pt idx="432">
                  <c:v>43159</c:v>
                </c:pt>
                <c:pt idx="433">
                  <c:v>43190</c:v>
                </c:pt>
                <c:pt idx="434">
                  <c:v>43220</c:v>
                </c:pt>
                <c:pt idx="435">
                  <c:v>43251</c:v>
                </c:pt>
                <c:pt idx="436">
                  <c:v>43281</c:v>
                </c:pt>
                <c:pt idx="437">
                  <c:v>43312</c:v>
                </c:pt>
                <c:pt idx="438">
                  <c:v>43343</c:v>
                </c:pt>
                <c:pt idx="439">
                  <c:v>43373</c:v>
                </c:pt>
                <c:pt idx="440">
                  <c:v>43404</c:v>
                </c:pt>
                <c:pt idx="441">
                  <c:v>43434</c:v>
                </c:pt>
                <c:pt idx="442">
                  <c:v>43465</c:v>
                </c:pt>
                <c:pt idx="443">
                  <c:v>43496</c:v>
                </c:pt>
                <c:pt idx="444">
                  <c:v>43524</c:v>
                </c:pt>
                <c:pt idx="445">
                  <c:v>43555</c:v>
                </c:pt>
                <c:pt idx="446">
                  <c:v>43585</c:v>
                </c:pt>
                <c:pt idx="447">
                  <c:v>43616</c:v>
                </c:pt>
                <c:pt idx="448">
                  <c:v>43646</c:v>
                </c:pt>
                <c:pt idx="449">
                  <c:v>43677</c:v>
                </c:pt>
                <c:pt idx="450">
                  <c:v>43708</c:v>
                </c:pt>
                <c:pt idx="451">
                  <c:v>43738</c:v>
                </c:pt>
                <c:pt idx="452">
                  <c:v>43769</c:v>
                </c:pt>
                <c:pt idx="453">
                  <c:v>43799</c:v>
                </c:pt>
                <c:pt idx="454">
                  <c:v>43830</c:v>
                </c:pt>
                <c:pt idx="455">
                  <c:v>43861</c:v>
                </c:pt>
                <c:pt idx="456">
                  <c:v>43890</c:v>
                </c:pt>
                <c:pt idx="457">
                  <c:v>43921</c:v>
                </c:pt>
                <c:pt idx="458">
                  <c:v>43951</c:v>
                </c:pt>
                <c:pt idx="459">
                  <c:v>43982</c:v>
                </c:pt>
                <c:pt idx="460">
                  <c:v>44012</c:v>
                </c:pt>
                <c:pt idx="461">
                  <c:v>44043</c:v>
                </c:pt>
                <c:pt idx="462">
                  <c:v>44074</c:v>
                </c:pt>
                <c:pt idx="463">
                  <c:v>44104</c:v>
                </c:pt>
                <c:pt idx="464">
                  <c:v>44135</c:v>
                </c:pt>
                <c:pt idx="465">
                  <c:v>44165</c:v>
                </c:pt>
                <c:pt idx="466">
                  <c:v>44196</c:v>
                </c:pt>
                <c:pt idx="467">
                  <c:v>44227</c:v>
                </c:pt>
                <c:pt idx="468">
                  <c:v>44255</c:v>
                </c:pt>
                <c:pt idx="469">
                  <c:v>44286</c:v>
                </c:pt>
                <c:pt idx="470">
                  <c:v>44316</c:v>
                </c:pt>
                <c:pt idx="471">
                  <c:v>44347</c:v>
                </c:pt>
                <c:pt idx="472">
                  <c:v>44377</c:v>
                </c:pt>
                <c:pt idx="473">
                  <c:v>44408</c:v>
                </c:pt>
                <c:pt idx="474">
                  <c:v>44439</c:v>
                </c:pt>
                <c:pt idx="475">
                  <c:v>44469</c:v>
                </c:pt>
                <c:pt idx="476">
                  <c:v>44500</c:v>
                </c:pt>
                <c:pt idx="477">
                  <c:v>44530</c:v>
                </c:pt>
                <c:pt idx="478">
                  <c:v>44561</c:v>
                </c:pt>
                <c:pt idx="479">
                  <c:v>44592</c:v>
                </c:pt>
                <c:pt idx="480">
                  <c:v>44620</c:v>
                </c:pt>
                <c:pt idx="481">
                  <c:v>44651</c:v>
                </c:pt>
                <c:pt idx="482">
                  <c:v>44681</c:v>
                </c:pt>
                <c:pt idx="483">
                  <c:v>44712</c:v>
                </c:pt>
                <c:pt idx="484">
                  <c:v>44742</c:v>
                </c:pt>
                <c:pt idx="485">
                  <c:v>44773</c:v>
                </c:pt>
                <c:pt idx="486">
                  <c:v>44804</c:v>
                </c:pt>
                <c:pt idx="487">
                  <c:v>44834</c:v>
                </c:pt>
                <c:pt idx="488">
                  <c:v>44865</c:v>
                </c:pt>
                <c:pt idx="489">
                  <c:v>44895</c:v>
                </c:pt>
                <c:pt idx="490">
                  <c:v>44926</c:v>
                </c:pt>
                <c:pt idx="491">
                  <c:v>44957</c:v>
                </c:pt>
                <c:pt idx="492">
                  <c:v>44985</c:v>
                </c:pt>
                <c:pt idx="493">
                  <c:v>45016</c:v>
                </c:pt>
                <c:pt idx="494">
                  <c:v>45046</c:v>
                </c:pt>
                <c:pt idx="495">
                  <c:v>45077</c:v>
                </c:pt>
                <c:pt idx="496">
                  <c:v>45107</c:v>
                </c:pt>
                <c:pt idx="497">
                  <c:v>45138</c:v>
                </c:pt>
                <c:pt idx="498">
                  <c:v>45169</c:v>
                </c:pt>
                <c:pt idx="499">
                  <c:v>45199</c:v>
                </c:pt>
                <c:pt idx="500">
                  <c:v>45230</c:v>
                </c:pt>
              </c:numCache>
            </c:numRef>
          </c:cat>
          <c:val>
            <c:numRef>
              <c:f>'housing mkt'!$AO$2:$AO$550</c:f>
              <c:numCache>
                <c:formatCode>General</c:formatCode>
                <c:ptCount val="549"/>
                <c:pt idx="0">
                  <c:v>65.900000000000006</c:v>
                </c:pt>
                <c:pt idx="1">
                  <c:v>66.400000000000006</c:v>
                </c:pt>
                <c:pt idx="2">
                  <c:v>66.900000000000006</c:v>
                </c:pt>
                <c:pt idx="3">
                  <c:v>65.599999999999994</c:v>
                </c:pt>
                <c:pt idx="4">
                  <c:v>64.8</c:v>
                </c:pt>
                <c:pt idx="5">
                  <c:v>65.7</c:v>
                </c:pt>
                <c:pt idx="6">
                  <c:v>66.3</c:v>
                </c:pt>
                <c:pt idx="7">
                  <c:v>66.5</c:v>
                </c:pt>
                <c:pt idx="8">
                  <c:v>69.7</c:v>
                </c:pt>
                <c:pt idx="9">
                  <c:v>71.8</c:v>
                </c:pt>
                <c:pt idx="10">
                  <c:v>74.3</c:v>
                </c:pt>
                <c:pt idx="11">
                  <c:v>76.2</c:v>
                </c:pt>
                <c:pt idx="12">
                  <c:v>78.3</c:v>
                </c:pt>
                <c:pt idx="13">
                  <c:v>79.3</c:v>
                </c:pt>
                <c:pt idx="14">
                  <c:v>80.8</c:v>
                </c:pt>
                <c:pt idx="15">
                  <c:v>82.2</c:v>
                </c:pt>
                <c:pt idx="16">
                  <c:v>82.4</c:v>
                </c:pt>
                <c:pt idx="17">
                  <c:v>81</c:v>
                </c:pt>
                <c:pt idx="18">
                  <c:v>81.099999999999994</c:v>
                </c:pt>
                <c:pt idx="19">
                  <c:v>81.3</c:v>
                </c:pt>
                <c:pt idx="20">
                  <c:v>82.7</c:v>
                </c:pt>
                <c:pt idx="21">
                  <c:v>84.3</c:v>
                </c:pt>
                <c:pt idx="22">
                  <c:v>84.4</c:v>
                </c:pt>
                <c:pt idx="23">
                  <c:v>86.5</c:v>
                </c:pt>
                <c:pt idx="24">
                  <c:v>87.5</c:v>
                </c:pt>
                <c:pt idx="25">
                  <c:v>87</c:v>
                </c:pt>
                <c:pt idx="26">
                  <c:v>87.2</c:v>
                </c:pt>
                <c:pt idx="27">
                  <c:v>88</c:v>
                </c:pt>
                <c:pt idx="28">
                  <c:v>87.6</c:v>
                </c:pt>
                <c:pt idx="29">
                  <c:v>86.3</c:v>
                </c:pt>
                <c:pt idx="30">
                  <c:v>84.2</c:v>
                </c:pt>
                <c:pt idx="31">
                  <c:v>84.2</c:v>
                </c:pt>
                <c:pt idx="32">
                  <c:v>85.6</c:v>
                </c:pt>
                <c:pt idx="33">
                  <c:v>85.3</c:v>
                </c:pt>
                <c:pt idx="34">
                  <c:v>86.7</c:v>
                </c:pt>
                <c:pt idx="35">
                  <c:v>87.7</c:v>
                </c:pt>
                <c:pt idx="36">
                  <c:v>87.1</c:v>
                </c:pt>
                <c:pt idx="37">
                  <c:v>88.7</c:v>
                </c:pt>
                <c:pt idx="38">
                  <c:v>89.7</c:v>
                </c:pt>
                <c:pt idx="39">
                  <c:v>90.4</c:v>
                </c:pt>
                <c:pt idx="40">
                  <c:v>90.4</c:v>
                </c:pt>
                <c:pt idx="41">
                  <c:v>91.6</c:v>
                </c:pt>
                <c:pt idx="42">
                  <c:v>93.4</c:v>
                </c:pt>
                <c:pt idx="43">
                  <c:v>94.2</c:v>
                </c:pt>
                <c:pt idx="44">
                  <c:v>97.2</c:v>
                </c:pt>
                <c:pt idx="45">
                  <c:v>97.6</c:v>
                </c:pt>
                <c:pt idx="46">
                  <c:v>98.8</c:v>
                </c:pt>
                <c:pt idx="47">
                  <c:v>99.5</c:v>
                </c:pt>
                <c:pt idx="48">
                  <c:v>99.5</c:v>
                </c:pt>
                <c:pt idx="49">
                  <c:v>100.4</c:v>
                </c:pt>
                <c:pt idx="50">
                  <c:v>99.5</c:v>
                </c:pt>
                <c:pt idx="51">
                  <c:v>101.6</c:v>
                </c:pt>
                <c:pt idx="52">
                  <c:v>100.2</c:v>
                </c:pt>
                <c:pt idx="53">
                  <c:v>101</c:v>
                </c:pt>
                <c:pt idx="54">
                  <c:v>104.4</c:v>
                </c:pt>
                <c:pt idx="55">
                  <c:v>102.3</c:v>
                </c:pt>
                <c:pt idx="56">
                  <c:v>106.6</c:v>
                </c:pt>
                <c:pt idx="57">
                  <c:v>109.3</c:v>
                </c:pt>
                <c:pt idx="58">
                  <c:v>109.7</c:v>
                </c:pt>
                <c:pt idx="59">
                  <c:v>111.5</c:v>
                </c:pt>
                <c:pt idx="60">
                  <c:v>104.6</c:v>
                </c:pt>
                <c:pt idx="61">
                  <c:v>108</c:v>
                </c:pt>
                <c:pt idx="62">
                  <c:v>109.6</c:v>
                </c:pt>
                <c:pt idx="63">
                  <c:v>110.1</c:v>
                </c:pt>
                <c:pt idx="64">
                  <c:v>108.8</c:v>
                </c:pt>
                <c:pt idx="65">
                  <c:v>108.2</c:v>
                </c:pt>
                <c:pt idx="66">
                  <c:v>108.4</c:v>
                </c:pt>
                <c:pt idx="67">
                  <c:v>108.9</c:v>
                </c:pt>
                <c:pt idx="68">
                  <c:v>110.8</c:v>
                </c:pt>
                <c:pt idx="69">
                  <c:v>111.6</c:v>
                </c:pt>
                <c:pt idx="70">
                  <c:v>111.7</c:v>
                </c:pt>
                <c:pt idx="71">
                  <c:v>112.7</c:v>
                </c:pt>
                <c:pt idx="72">
                  <c:v>112.6</c:v>
                </c:pt>
                <c:pt idx="73">
                  <c:v>111.9</c:v>
                </c:pt>
                <c:pt idx="74">
                  <c:v>112.4</c:v>
                </c:pt>
                <c:pt idx="75">
                  <c:v>113.3</c:v>
                </c:pt>
                <c:pt idx="76">
                  <c:v>111.5</c:v>
                </c:pt>
                <c:pt idx="77">
                  <c:v>110.5</c:v>
                </c:pt>
                <c:pt idx="78">
                  <c:v>109.9</c:v>
                </c:pt>
                <c:pt idx="79">
                  <c:v>109.3</c:v>
                </c:pt>
                <c:pt idx="80">
                  <c:v>113.5</c:v>
                </c:pt>
                <c:pt idx="81">
                  <c:v>112.3</c:v>
                </c:pt>
                <c:pt idx="82">
                  <c:v>112.5</c:v>
                </c:pt>
                <c:pt idx="83">
                  <c:v>111.5</c:v>
                </c:pt>
                <c:pt idx="84">
                  <c:v>104.1</c:v>
                </c:pt>
                <c:pt idx="85">
                  <c:v>100.7</c:v>
                </c:pt>
                <c:pt idx="86">
                  <c:v>100.5</c:v>
                </c:pt>
                <c:pt idx="87">
                  <c:v>99.4</c:v>
                </c:pt>
                <c:pt idx="88">
                  <c:v>97.6</c:v>
                </c:pt>
                <c:pt idx="89">
                  <c:v>98.3</c:v>
                </c:pt>
                <c:pt idx="90">
                  <c:v>100.6</c:v>
                </c:pt>
                <c:pt idx="91">
                  <c:v>103.5</c:v>
                </c:pt>
                <c:pt idx="92">
                  <c:v>104.6</c:v>
                </c:pt>
                <c:pt idx="93">
                  <c:v>106.2</c:v>
                </c:pt>
                <c:pt idx="94">
                  <c:v>104.7</c:v>
                </c:pt>
                <c:pt idx="95">
                  <c:v>108.2</c:v>
                </c:pt>
                <c:pt idx="96">
                  <c:v>108.4</c:v>
                </c:pt>
                <c:pt idx="97">
                  <c:v>106.9</c:v>
                </c:pt>
                <c:pt idx="98">
                  <c:v>103.6</c:v>
                </c:pt>
                <c:pt idx="99">
                  <c:v>103.4</c:v>
                </c:pt>
                <c:pt idx="100">
                  <c:v>103.6</c:v>
                </c:pt>
                <c:pt idx="101">
                  <c:v>99</c:v>
                </c:pt>
                <c:pt idx="102">
                  <c:v>100.2</c:v>
                </c:pt>
                <c:pt idx="103">
                  <c:v>105.6</c:v>
                </c:pt>
                <c:pt idx="104">
                  <c:v>105.1</c:v>
                </c:pt>
                <c:pt idx="105">
                  <c:v>107.3</c:v>
                </c:pt>
                <c:pt idx="106">
                  <c:v>108</c:v>
                </c:pt>
                <c:pt idx="107">
                  <c:v>110.2</c:v>
                </c:pt>
                <c:pt idx="108">
                  <c:v>108</c:v>
                </c:pt>
                <c:pt idx="109">
                  <c:v>109.7</c:v>
                </c:pt>
                <c:pt idx="110">
                  <c:v>108.3</c:v>
                </c:pt>
                <c:pt idx="111">
                  <c:v>106.4</c:v>
                </c:pt>
                <c:pt idx="112">
                  <c:v>104.7</c:v>
                </c:pt>
                <c:pt idx="113">
                  <c:v>104.2</c:v>
                </c:pt>
                <c:pt idx="114">
                  <c:v>102.3</c:v>
                </c:pt>
                <c:pt idx="115">
                  <c:v>104.9</c:v>
                </c:pt>
                <c:pt idx="116">
                  <c:v>108.2</c:v>
                </c:pt>
                <c:pt idx="117">
                  <c:v>110.5</c:v>
                </c:pt>
                <c:pt idx="118">
                  <c:v>115.4</c:v>
                </c:pt>
                <c:pt idx="119">
                  <c:v>116.2</c:v>
                </c:pt>
                <c:pt idx="120">
                  <c:v>119.8</c:v>
                </c:pt>
                <c:pt idx="121">
                  <c:v>117.1</c:v>
                </c:pt>
                <c:pt idx="122">
                  <c:v>113.5</c:v>
                </c:pt>
                <c:pt idx="123">
                  <c:v>113.7</c:v>
                </c:pt>
                <c:pt idx="124">
                  <c:v>113.6</c:v>
                </c:pt>
                <c:pt idx="125">
                  <c:v>112.8</c:v>
                </c:pt>
                <c:pt idx="126">
                  <c:v>118.5</c:v>
                </c:pt>
                <c:pt idx="127">
                  <c:v>119.9</c:v>
                </c:pt>
                <c:pt idx="128">
                  <c:v>122.1</c:v>
                </c:pt>
                <c:pt idx="129">
                  <c:v>122.1</c:v>
                </c:pt>
                <c:pt idx="130">
                  <c:v>121.4</c:v>
                </c:pt>
                <c:pt idx="131">
                  <c:v>119.4</c:v>
                </c:pt>
                <c:pt idx="132">
                  <c:v>123.6</c:v>
                </c:pt>
                <c:pt idx="133">
                  <c:v>127</c:v>
                </c:pt>
                <c:pt idx="134">
                  <c:v>126.7</c:v>
                </c:pt>
                <c:pt idx="135">
                  <c:v>126.9</c:v>
                </c:pt>
                <c:pt idx="136">
                  <c:v>125.4</c:v>
                </c:pt>
                <c:pt idx="137">
                  <c:v>121</c:v>
                </c:pt>
                <c:pt idx="138">
                  <c:v>124.9</c:v>
                </c:pt>
                <c:pt idx="139">
                  <c:v>127.3</c:v>
                </c:pt>
                <c:pt idx="140">
                  <c:v>128.69999999999999</c:v>
                </c:pt>
                <c:pt idx="141">
                  <c:v>131.9</c:v>
                </c:pt>
                <c:pt idx="142">
                  <c:v>131</c:v>
                </c:pt>
                <c:pt idx="143">
                  <c:v>127.3</c:v>
                </c:pt>
                <c:pt idx="144">
                  <c:v>129.6</c:v>
                </c:pt>
                <c:pt idx="145">
                  <c:v>133.19999999999999</c:v>
                </c:pt>
                <c:pt idx="146">
                  <c:v>129.80000000000001</c:v>
                </c:pt>
                <c:pt idx="147">
                  <c:v>124.4</c:v>
                </c:pt>
                <c:pt idx="148">
                  <c:v>117.1</c:v>
                </c:pt>
                <c:pt idx="149">
                  <c:v>112.8</c:v>
                </c:pt>
                <c:pt idx="150">
                  <c:v>113.2</c:v>
                </c:pt>
                <c:pt idx="151">
                  <c:v>113.2</c:v>
                </c:pt>
                <c:pt idx="152">
                  <c:v>115.9</c:v>
                </c:pt>
                <c:pt idx="153">
                  <c:v>116.1</c:v>
                </c:pt>
                <c:pt idx="154">
                  <c:v>114.9</c:v>
                </c:pt>
                <c:pt idx="155">
                  <c:v>113.5</c:v>
                </c:pt>
                <c:pt idx="156">
                  <c:v>114.8</c:v>
                </c:pt>
                <c:pt idx="157">
                  <c:v>116.5</c:v>
                </c:pt>
                <c:pt idx="158">
                  <c:v>117.7</c:v>
                </c:pt>
                <c:pt idx="159">
                  <c:v>120.2</c:v>
                </c:pt>
                <c:pt idx="160">
                  <c:v>121</c:v>
                </c:pt>
                <c:pt idx="161">
                  <c:v>120.2</c:v>
                </c:pt>
                <c:pt idx="162">
                  <c:v>121.7</c:v>
                </c:pt>
                <c:pt idx="163">
                  <c:v>119.7</c:v>
                </c:pt>
                <c:pt idx="164">
                  <c:v>121.9</c:v>
                </c:pt>
                <c:pt idx="165">
                  <c:v>125.1</c:v>
                </c:pt>
                <c:pt idx="166">
                  <c:v>125.9</c:v>
                </c:pt>
                <c:pt idx="167">
                  <c:v>127.7</c:v>
                </c:pt>
                <c:pt idx="168">
                  <c:v>131.5</c:v>
                </c:pt>
                <c:pt idx="169">
                  <c:v>134.4</c:v>
                </c:pt>
                <c:pt idx="170">
                  <c:v>129.30000000000001</c:v>
                </c:pt>
                <c:pt idx="171">
                  <c:v>124.5</c:v>
                </c:pt>
                <c:pt idx="172">
                  <c:v>119.9</c:v>
                </c:pt>
                <c:pt idx="173">
                  <c:v>115.2</c:v>
                </c:pt>
                <c:pt idx="174">
                  <c:v>115.3</c:v>
                </c:pt>
                <c:pt idx="175">
                  <c:v>117.8</c:v>
                </c:pt>
                <c:pt idx="176">
                  <c:v>119.6</c:v>
                </c:pt>
                <c:pt idx="177">
                  <c:v>122.6</c:v>
                </c:pt>
                <c:pt idx="178">
                  <c:v>124.7</c:v>
                </c:pt>
                <c:pt idx="179">
                  <c:v>125.6</c:v>
                </c:pt>
                <c:pt idx="180">
                  <c:v>125.1</c:v>
                </c:pt>
                <c:pt idx="181">
                  <c:v>128.30000000000001</c:v>
                </c:pt>
                <c:pt idx="182">
                  <c:v>125.6</c:v>
                </c:pt>
                <c:pt idx="183">
                  <c:v>123</c:v>
                </c:pt>
                <c:pt idx="184">
                  <c:v>120</c:v>
                </c:pt>
                <c:pt idx="185">
                  <c:v>118.6</c:v>
                </c:pt>
                <c:pt idx="186">
                  <c:v>121.8</c:v>
                </c:pt>
                <c:pt idx="187">
                  <c:v>123</c:v>
                </c:pt>
                <c:pt idx="188">
                  <c:v>124</c:v>
                </c:pt>
                <c:pt idx="189">
                  <c:v>127.9</c:v>
                </c:pt>
                <c:pt idx="190">
                  <c:v>129</c:v>
                </c:pt>
                <c:pt idx="191">
                  <c:v>128.6</c:v>
                </c:pt>
                <c:pt idx="192">
                  <c:v>133</c:v>
                </c:pt>
                <c:pt idx="193">
                  <c:v>136.1</c:v>
                </c:pt>
                <c:pt idx="194">
                  <c:v>133.9</c:v>
                </c:pt>
                <c:pt idx="195">
                  <c:v>132.9</c:v>
                </c:pt>
                <c:pt idx="196">
                  <c:v>129.1</c:v>
                </c:pt>
                <c:pt idx="197">
                  <c:v>127.7</c:v>
                </c:pt>
                <c:pt idx="198">
                  <c:v>128.69999999999999</c:v>
                </c:pt>
                <c:pt idx="199">
                  <c:v>131.6</c:v>
                </c:pt>
                <c:pt idx="200">
                  <c:v>133.30000000000001</c:v>
                </c:pt>
                <c:pt idx="201">
                  <c:v>137.9</c:v>
                </c:pt>
                <c:pt idx="202">
                  <c:v>136.5</c:v>
                </c:pt>
                <c:pt idx="203">
                  <c:v>137</c:v>
                </c:pt>
                <c:pt idx="204">
                  <c:v>137.5</c:v>
                </c:pt>
                <c:pt idx="205">
                  <c:v>139.80000000000001</c:v>
                </c:pt>
                <c:pt idx="206">
                  <c:v>136.9</c:v>
                </c:pt>
                <c:pt idx="207">
                  <c:v>135.69999999999999</c:v>
                </c:pt>
                <c:pt idx="208">
                  <c:v>133</c:v>
                </c:pt>
                <c:pt idx="209">
                  <c:v>126.7</c:v>
                </c:pt>
                <c:pt idx="210">
                  <c:v>124.8</c:v>
                </c:pt>
                <c:pt idx="211">
                  <c:v>122.9</c:v>
                </c:pt>
                <c:pt idx="212">
                  <c:v>123.4</c:v>
                </c:pt>
                <c:pt idx="213">
                  <c:v>126</c:v>
                </c:pt>
                <c:pt idx="214">
                  <c:v>125.8</c:v>
                </c:pt>
                <c:pt idx="215">
                  <c:v>125.4</c:v>
                </c:pt>
                <c:pt idx="216">
                  <c:v>124.1</c:v>
                </c:pt>
                <c:pt idx="217">
                  <c:v>124.3</c:v>
                </c:pt>
                <c:pt idx="218">
                  <c:v>123.1</c:v>
                </c:pt>
                <c:pt idx="219">
                  <c:v>122.1</c:v>
                </c:pt>
                <c:pt idx="220">
                  <c:v>119.1</c:v>
                </c:pt>
                <c:pt idx="221">
                  <c:v>116.6</c:v>
                </c:pt>
                <c:pt idx="222">
                  <c:v>116</c:v>
                </c:pt>
                <c:pt idx="223">
                  <c:v>118.4</c:v>
                </c:pt>
                <c:pt idx="224">
                  <c:v>119.8</c:v>
                </c:pt>
                <c:pt idx="225">
                  <c:v>123.9</c:v>
                </c:pt>
                <c:pt idx="226">
                  <c:v>124.4</c:v>
                </c:pt>
                <c:pt idx="227">
                  <c:v>125.9</c:v>
                </c:pt>
                <c:pt idx="228">
                  <c:v>134.6</c:v>
                </c:pt>
                <c:pt idx="229">
                  <c:v>135.9</c:v>
                </c:pt>
                <c:pt idx="230">
                  <c:v>132.30000000000001</c:v>
                </c:pt>
                <c:pt idx="231">
                  <c:v>132.69999999999999</c:v>
                </c:pt>
                <c:pt idx="232">
                  <c:v>128.80000000000001</c:v>
                </c:pt>
                <c:pt idx="233">
                  <c:v>122.8</c:v>
                </c:pt>
                <c:pt idx="234">
                  <c:v>123.3</c:v>
                </c:pt>
                <c:pt idx="235">
                  <c:v>124.2</c:v>
                </c:pt>
                <c:pt idx="236">
                  <c:v>129.19999999999999</c:v>
                </c:pt>
                <c:pt idx="237">
                  <c:v>134.69999999999999</c:v>
                </c:pt>
                <c:pt idx="238">
                  <c:v>134.9</c:v>
                </c:pt>
                <c:pt idx="239">
                  <c:v>127</c:v>
                </c:pt>
                <c:pt idx="240">
                  <c:v>127.4</c:v>
                </c:pt>
                <c:pt idx="241">
                  <c:v>127.9</c:v>
                </c:pt>
                <c:pt idx="242">
                  <c:v>125.9</c:v>
                </c:pt>
                <c:pt idx="243">
                  <c:v>123.6</c:v>
                </c:pt>
                <c:pt idx="244">
                  <c:v>122.4</c:v>
                </c:pt>
                <c:pt idx="245">
                  <c:v>117.5</c:v>
                </c:pt>
                <c:pt idx="246">
                  <c:v>120.4</c:v>
                </c:pt>
                <c:pt idx="247">
                  <c:v>124.9</c:v>
                </c:pt>
                <c:pt idx="248">
                  <c:v>128.5</c:v>
                </c:pt>
                <c:pt idx="249">
                  <c:v>130.4</c:v>
                </c:pt>
                <c:pt idx="250">
                  <c:v>129.9</c:v>
                </c:pt>
                <c:pt idx="251">
                  <c:v>128.19999999999999</c:v>
                </c:pt>
                <c:pt idx="252">
                  <c:v>133.80000000000001</c:v>
                </c:pt>
                <c:pt idx="253">
                  <c:v>134.9</c:v>
                </c:pt>
                <c:pt idx="254">
                  <c:v>134.69999999999999</c:v>
                </c:pt>
                <c:pt idx="255">
                  <c:v>134.1</c:v>
                </c:pt>
                <c:pt idx="256">
                  <c:v>133.4</c:v>
                </c:pt>
                <c:pt idx="257">
                  <c:v>130.6</c:v>
                </c:pt>
                <c:pt idx="258">
                  <c:v>130.30000000000001</c:v>
                </c:pt>
                <c:pt idx="259">
                  <c:v>125.8</c:v>
                </c:pt>
                <c:pt idx="260">
                  <c:v>124.1</c:v>
                </c:pt>
                <c:pt idx="261">
                  <c:v>125.9</c:v>
                </c:pt>
                <c:pt idx="262">
                  <c:v>126.8</c:v>
                </c:pt>
                <c:pt idx="263">
                  <c:v>123.8</c:v>
                </c:pt>
                <c:pt idx="264">
                  <c:v>130.6</c:v>
                </c:pt>
                <c:pt idx="265">
                  <c:v>130</c:v>
                </c:pt>
                <c:pt idx="266">
                  <c:v>130.1</c:v>
                </c:pt>
                <c:pt idx="267">
                  <c:v>128.9</c:v>
                </c:pt>
                <c:pt idx="268">
                  <c:v>119</c:v>
                </c:pt>
                <c:pt idx="269">
                  <c:v>111.4</c:v>
                </c:pt>
                <c:pt idx="270">
                  <c:v>113.8</c:v>
                </c:pt>
                <c:pt idx="271">
                  <c:v>117.8</c:v>
                </c:pt>
                <c:pt idx="272">
                  <c:v>120.5</c:v>
                </c:pt>
                <c:pt idx="273">
                  <c:v>121.8</c:v>
                </c:pt>
                <c:pt idx="274">
                  <c:v>120.8</c:v>
                </c:pt>
                <c:pt idx="275">
                  <c:v>120.3</c:v>
                </c:pt>
                <c:pt idx="276">
                  <c:v>123.9</c:v>
                </c:pt>
                <c:pt idx="277">
                  <c:v>124.2</c:v>
                </c:pt>
                <c:pt idx="278">
                  <c:v>120.1</c:v>
                </c:pt>
                <c:pt idx="279">
                  <c:v>112.1</c:v>
                </c:pt>
                <c:pt idx="280">
                  <c:v>112.3</c:v>
                </c:pt>
                <c:pt idx="281">
                  <c:v>108.2</c:v>
                </c:pt>
                <c:pt idx="282">
                  <c:v>109.4</c:v>
                </c:pt>
                <c:pt idx="283">
                  <c:v>107</c:v>
                </c:pt>
                <c:pt idx="284">
                  <c:v>109.2</c:v>
                </c:pt>
                <c:pt idx="285">
                  <c:v>106.1</c:v>
                </c:pt>
                <c:pt idx="286">
                  <c:v>105.5</c:v>
                </c:pt>
                <c:pt idx="287">
                  <c:v>106.6</c:v>
                </c:pt>
                <c:pt idx="288">
                  <c:v>109.2</c:v>
                </c:pt>
                <c:pt idx="289">
                  <c:v>110.8</c:v>
                </c:pt>
                <c:pt idx="290">
                  <c:v>109.1</c:v>
                </c:pt>
                <c:pt idx="291">
                  <c:v>106</c:v>
                </c:pt>
                <c:pt idx="292">
                  <c:v>102.5</c:v>
                </c:pt>
                <c:pt idx="293">
                  <c:v>101.6</c:v>
                </c:pt>
                <c:pt idx="294">
                  <c:v>100.4</c:v>
                </c:pt>
                <c:pt idx="295">
                  <c:v>104.5</c:v>
                </c:pt>
                <c:pt idx="296">
                  <c:v>108</c:v>
                </c:pt>
                <c:pt idx="297">
                  <c:v>109.6</c:v>
                </c:pt>
                <c:pt idx="298">
                  <c:v>112.8</c:v>
                </c:pt>
                <c:pt idx="299">
                  <c:v>112</c:v>
                </c:pt>
                <c:pt idx="300">
                  <c:v>118.7</c:v>
                </c:pt>
                <c:pt idx="301">
                  <c:v>116.9</c:v>
                </c:pt>
                <c:pt idx="302">
                  <c:v>116.1</c:v>
                </c:pt>
                <c:pt idx="303">
                  <c:v>115.4</c:v>
                </c:pt>
                <c:pt idx="304">
                  <c:v>113.5</c:v>
                </c:pt>
                <c:pt idx="305">
                  <c:v>108</c:v>
                </c:pt>
                <c:pt idx="306">
                  <c:v>106.6</c:v>
                </c:pt>
                <c:pt idx="307">
                  <c:v>109.7</c:v>
                </c:pt>
                <c:pt idx="308">
                  <c:v>120</c:v>
                </c:pt>
                <c:pt idx="309">
                  <c:v>123.9</c:v>
                </c:pt>
                <c:pt idx="310">
                  <c:v>124.6</c:v>
                </c:pt>
                <c:pt idx="311">
                  <c:v>127.9</c:v>
                </c:pt>
                <c:pt idx="312">
                  <c:v>137.1</c:v>
                </c:pt>
                <c:pt idx="313">
                  <c:v>141.1</c:v>
                </c:pt>
                <c:pt idx="314">
                  <c:v>136.1</c:v>
                </c:pt>
                <c:pt idx="315">
                  <c:v>136.19999999999999</c:v>
                </c:pt>
                <c:pt idx="316">
                  <c:v>131.19999999999999</c:v>
                </c:pt>
                <c:pt idx="317">
                  <c:v>124.2</c:v>
                </c:pt>
                <c:pt idx="318">
                  <c:v>124.5</c:v>
                </c:pt>
                <c:pt idx="319">
                  <c:v>128.6</c:v>
                </c:pt>
                <c:pt idx="320">
                  <c:v>141.80000000000001</c:v>
                </c:pt>
                <c:pt idx="321">
                  <c:v>145.69999999999999</c:v>
                </c:pt>
                <c:pt idx="322">
                  <c:v>150.1</c:v>
                </c:pt>
                <c:pt idx="323">
                  <c:v>176.3</c:v>
                </c:pt>
                <c:pt idx="324">
                  <c:v>172.9</c:v>
                </c:pt>
                <c:pt idx="325">
                  <c:v>170.4</c:v>
                </c:pt>
                <c:pt idx="326">
                  <c:v>178.5</c:v>
                </c:pt>
                <c:pt idx="327">
                  <c:v>172.5</c:v>
                </c:pt>
                <c:pt idx="328">
                  <c:v>159.9</c:v>
                </c:pt>
                <c:pt idx="329">
                  <c:v>156</c:v>
                </c:pt>
                <c:pt idx="330">
                  <c:v>160.69999999999999</c:v>
                </c:pt>
                <c:pt idx="331">
                  <c:v>163.30000000000001</c:v>
                </c:pt>
                <c:pt idx="332">
                  <c:v>169.7</c:v>
                </c:pt>
                <c:pt idx="333">
                  <c:v>173.3</c:v>
                </c:pt>
                <c:pt idx="334">
                  <c:v>175.4</c:v>
                </c:pt>
                <c:pt idx="335">
                  <c:v>191</c:v>
                </c:pt>
                <c:pt idx="336">
                  <c:v>177.5</c:v>
                </c:pt>
                <c:pt idx="337">
                  <c:v>173</c:v>
                </c:pt>
                <c:pt idx="338">
                  <c:v>169.7</c:v>
                </c:pt>
                <c:pt idx="339">
                  <c:v>167.6</c:v>
                </c:pt>
                <c:pt idx="340">
                  <c:v>161.30000000000001</c:v>
                </c:pt>
                <c:pt idx="341">
                  <c:v>163.80000000000001</c:v>
                </c:pt>
                <c:pt idx="342">
                  <c:v>170.9</c:v>
                </c:pt>
                <c:pt idx="343">
                  <c:v>178.5</c:v>
                </c:pt>
                <c:pt idx="344">
                  <c:v>178.4</c:v>
                </c:pt>
                <c:pt idx="345">
                  <c:v>179.8</c:v>
                </c:pt>
                <c:pt idx="346">
                  <c:v>177.9</c:v>
                </c:pt>
                <c:pt idx="347">
                  <c:v>188.6</c:v>
                </c:pt>
                <c:pt idx="348">
                  <c:v>188.4</c:v>
                </c:pt>
                <c:pt idx="349">
                  <c:v>181.7</c:v>
                </c:pt>
                <c:pt idx="350">
                  <c:v>182</c:v>
                </c:pt>
                <c:pt idx="351">
                  <c:v>174.1</c:v>
                </c:pt>
                <c:pt idx="352">
                  <c:v>170.3</c:v>
                </c:pt>
                <c:pt idx="353">
                  <c:v>176.1</c:v>
                </c:pt>
                <c:pt idx="354">
                  <c:v>179.5</c:v>
                </c:pt>
                <c:pt idx="355">
                  <c:v>187.1</c:v>
                </c:pt>
                <c:pt idx="356">
                  <c:v>196.5</c:v>
                </c:pt>
                <c:pt idx="357">
                  <c:v>192.2</c:v>
                </c:pt>
                <c:pt idx="358">
                  <c:v>194.8</c:v>
                </c:pt>
                <c:pt idx="359">
                  <c:v>203.2</c:v>
                </c:pt>
                <c:pt idx="360">
                  <c:v>202.4</c:v>
                </c:pt>
                <c:pt idx="361">
                  <c:v>201.6</c:v>
                </c:pt>
                <c:pt idx="362">
                  <c:v>189.2</c:v>
                </c:pt>
                <c:pt idx="363">
                  <c:v>184.9</c:v>
                </c:pt>
                <c:pt idx="364">
                  <c:v>179.2</c:v>
                </c:pt>
                <c:pt idx="365">
                  <c:v>181.6</c:v>
                </c:pt>
                <c:pt idx="366">
                  <c:v>188.9</c:v>
                </c:pt>
                <c:pt idx="367">
                  <c:v>196</c:v>
                </c:pt>
                <c:pt idx="368">
                  <c:v>201.2</c:v>
                </c:pt>
                <c:pt idx="369">
                  <c:v>201.1</c:v>
                </c:pt>
                <c:pt idx="370">
                  <c:v>202.5</c:v>
                </c:pt>
                <c:pt idx="371">
                  <c:v>211.8</c:v>
                </c:pt>
                <c:pt idx="372">
                  <c:v>208.1</c:v>
                </c:pt>
                <c:pt idx="373">
                  <c:v>193.3</c:v>
                </c:pt>
                <c:pt idx="374">
                  <c:v>184.9</c:v>
                </c:pt>
                <c:pt idx="375">
                  <c:v>177.8</c:v>
                </c:pt>
                <c:pt idx="376">
                  <c:v>166.3</c:v>
                </c:pt>
                <c:pt idx="377">
                  <c:v>158.4</c:v>
                </c:pt>
                <c:pt idx="378">
                  <c:v>158.19999999999999</c:v>
                </c:pt>
                <c:pt idx="379">
                  <c:v>165.2</c:v>
                </c:pt>
                <c:pt idx="380">
                  <c:v>166.8</c:v>
                </c:pt>
                <c:pt idx="381">
                  <c:v>171.1</c:v>
                </c:pt>
                <c:pt idx="382">
                  <c:v>167.8</c:v>
                </c:pt>
                <c:pt idx="383">
                  <c:v>172.4</c:v>
                </c:pt>
                <c:pt idx="384">
                  <c:v>174.2</c:v>
                </c:pt>
                <c:pt idx="385">
                  <c:v>169.3</c:v>
                </c:pt>
                <c:pt idx="386">
                  <c:v>165.3</c:v>
                </c:pt>
                <c:pt idx="387">
                  <c:v>158.5</c:v>
                </c:pt>
                <c:pt idx="388">
                  <c:v>152.9</c:v>
                </c:pt>
                <c:pt idx="389">
                  <c:v>153.30000000000001</c:v>
                </c:pt>
                <c:pt idx="390">
                  <c:v>158</c:v>
                </c:pt>
                <c:pt idx="391">
                  <c:v>165.6</c:v>
                </c:pt>
                <c:pt idx="392">
                  <c:v>166.5</c:v>
                </c:pt>
                <c:pt idx="393">
                  <c:v>169.6</c:v>
                </c:pt>
                <c:pt idx="394">
                  <c:v>169.5</c:v>
                </c:pt>
                <c:pt idx="395">
                  <c:v>180.9</c:v>
                </c:pt>
                <c:pt idx="396">
                  <c:v>180.1</c:v>
                </c:pt>
                <c:pt idx="397">
                  <c:v>171.7</c:v>
                </c:pt>
                <c:pt idx="398">
                  <c:v>166.5</c:v>
                </c:pt>
                <c:pt idx="399">
                  <c:v>160.5</c:v>
                </c:pt>
                <c:pt idx="400">
                  <c:v>154</c:v>
                </c:pt>
                <c:pt idx="401">
                  <c:v>153.9</c:v>
                </c:pt>
                <c:pt idx="402">
                  <c:v>158.9</c:v>
                </c:pt>
                <c:pt idx="403">
                  <c:v>165.2</c:v>
                </c:pt>
                <c:pt idx="404">
                  <c:v>168.4</c:v>
                </c:pt>
                <c:pt idx="405">
                  <c:v>168.9</c:v>
                </c:pt>
                <c:pt idx="406">
                  <c:v>164.2</c:v>
                </c:pt>
                <c:pt idx="407">
                  <c:v>173.1</c:v>
                </c:pt>
                <c:pt idx="408">
                  <c:v>176.2</c:v>
                </c:pt>
                <c:pt idx="409">
                  <c:v>173</c:v>
                </c:pt>
                <c:pt idx="410">
                  <c:v>166.5</c:v>
                </c:pt>
                <c:pt idx="411">
                  <c:v>162.6</c:v>
                </c:pt>
                <c:pt idx="412">
                  <c:v>157</c:v>
                </c:pt>
                <c:pt idx="413">
                  <c:v>161.69999999999999</c:v>
                </c:pt>
                <c:pt idx="414">
                  <c:v>165.4</c:v>
                </c:pt>
                <c:pt idx="415">
                  <c:v>169.4</c:v>
                </c:pt>
                <c:pt idx="416">
                  <c:v>171.6</c:v>
                </c:pt>
                <c:pt idx="417">
                  <c:v>170.7</c:v>
                </c:pt>
                <c:pt idx="418">
                  <c:v>165.7</c:v>
                </c:pt>
                <c:pt idx="419">
                  <c:v>164.8</c:v>
                </c:pt>
                <c:pt idx="420">
                  <c:v>163.80000000000001</c:v>
                </c:pt>
                <c:pt idx="421">
                  <c:v>161.9</c:v>
                </c:pt>
                <c:pt idx="422">
                  <c:v>160.1</c:v>
                </c:pt>
                <c:pt idx="423">
                  <c:v>157.5</c:v>
                </c:pt>
                <c:pt idx="424">
                  <c:v>148.6</c:v>
                </c:pt>
                <c:pt idx="425">
                  <c:v>152</c:v>
                </c:pt>
                <c:pt idx="426">
                  <c:v>154.69999999999999</c:v>
                </c:pt>
                <c:pt idx="427">
                  <c:v>159.9</c:v>
                </c:pt>
                <c:pt idx="428">
                  <c:v>162.9</c:v>
                </c:pt>
                <c:pt idx="429">
                  <c:v>161.30000000000001</c:v>
                </c:pt>
                <c:pt idx="430">
                  <c:v>162</c:v>
                </c:pt>
                <c:pt idx="431">
                  <c:v>164.6</c:v>
                </c:pt>
                <c:pt idx="432">
                  <c:v>161.6</c:v>
                </c:pt>
                <c:pt idx="433">
                  <c:v>152.5</c:v>
                </c:pt>
                <c:pt idx="434">
                  <c:v>147.4</c:v>
                </c:pt>
                <c:pt idx="435">
                  <c:v>142.69999999999999</c:v>
                </c:pt>
                <c:pt idx="436">
                  <c:v>137.9</c:v>
                </c:pt>
                <c:pt idx="437">
                  <c:v>140.5</c:v>
                </c:pt>
                <c:pt idx="438">
                  <c:v>142.4</c:v>
                </c:pt>
                <c:pt idx="439">
                  <c:v>147.4</c:v>
                </c:pt>
                <c:pt idx="440">
                  <c:v>146.69999999999999</c:v>
                </c:pt>
                <c:pt idx="441">
                  <c:v>143.80000000000001</c:v>
                </c:pt>
                <c:pt idx="442">
                  <c:v>146.6</c:v>
                </c:pt>
                <c:pt idx="443">
                  <c:v>153.9</c:v>
                </c:pt>
                <c:pt idx="444">
                  <c:v>157.1</c:v>
                </c:pt>
                <c:pt idx="445">
                  <c:v>153.80000000000001</c:v>
                </c:pt>
                <c:pt idx="446">
                  <c:v>153.6</c:v>
                </c:pt>
                <c:pt idx="447">
                  <c:v>150.80000000000001</c:v>
                </c:pt>
                <c:pt idx="448">
                  <c:v>152</c:v>
                </c:pt>
                <c:pt idx="449">
                  <c:v>155.5</c:v>
                </c:pt>
                <c:pt idx="450">
                  <c:v>159.9</c:v>
                </c:pt>
                <c:pt idx="451">
                  <c:v>164.7</c:v>
                </c:pt>
                <c:pt idx="452">
                  <c:v>163.6</c:v>
                </c:pt>
                <c:pt idx="453">
                  <c:v>163.80000000000001</c:v>
                </c:pt>
                <c:pt idx="454">
                  <c:v>167.2</c:v>
                </c:pt>
                <c:pt idx="455">
                  <c:v>174.2</c:v>
                </c:pt>
                <c:pt idx="456">
                  <c:v>175.6</c:v>
                </c:pt>
                <c:pt idx="457">
                  <c:v>167.7</c:v>
                </c:pt>
                <c:pt idx="458">
                  <c:v>182.7</c:v>
                </c:pt>
                <c:pt idx="459">
                  <c:v>180</c:v>
                </c:pt>
                <c:pt idx="460">
                  <c:v>173.3</c:v>
                </c:pt>
                <c:pt idx="461">
                  <c:v>170.4</c:v>
                </c:pt>
                <c:pt idx="462">
                  <c:v>165.8</c:v>
                </c:pt>
                <c:pt idx="463">
                  <c:v>167.2</c:v>
                </c:pt>
                <c:pt idx="464">
                  <c:v>167.4</c:v>
                </c:pt>
                <c:pt idx="465">
                  <c:v>168.7</c:v>
                </c:pt>
                <c:pt idx="466">
                  <c:v>172.5</c:v>
                </c:pt>
                <c:pt idx="467">
                  <c:v>187.8</c:v>
                </c:pt>
                <c:pt idx="468">
                  <c:v>173.4</c:v>
                </c:pt>
                <c:pt idx="469">
                  <c:v>175.2</c:v>
                </c:pt>
                <c:pt idx="470">
                  <c:v>154.4</c:v>
                </c:pt>
                <c:pt idx="471">
                  <c:v>150</c:v>
                </c:pt>
                <c:pt idx="472">
                  <c:v>144.5</c:v>
                </c:pt>
                <c:pt idx="473">
                  <c:v>146.5</c:v>
                </c:pt>
                <c:pt idx="474">
                  <c:v>148.69999999999999</c:v>
                </c:pt>
                <c:pt idx="475">
                  <c:v>149.4</c:v>
                </c:pt>
                <c:pt idx="476">
                  <c:v>143.5</c:v>
                </c:pt>
                <c:pt idx="477">
                  <c:v>142.69999999999999</c:v>
                </c:pt>
                <c:pt idx="478">
                  <c:v>142.19999999999999</c:v>
                </c:pt>
                <c:pt idx="479">
                  <c:v>137.30000000000001</c:v>
                </c:pt>
                <c:pt idx="480">
                  <c:v>129.4</c:v>
                </c:pt>
                <c:pt idx="481">
                  <c:v>118.8</c:v>
                </c:pt>
                <c:pt idx="482">
                  <c:v>104.1</c:v>
                </c:pt>
                <c:pt idx="483">
                  <c:v>98.3</c:v>
                </c:pt>
                <c:pt idx="484">
                  <c:v>94.5</c:v>
                </c:pt>
                <c:pt idx="485">
                  <c:v>99.6</c:v>
                </c:pt>
                <c:pt idx="486">
                  <c:v>110.5</c:v>
                </c:pt>
                <c:pt idx="487">
                  <c:v>104.2</c:v>
                </c:pt>
                <c:pt idx="488">
                  <c:v>99</c:v>
                </c:pt>
                <c:pt idx="489">
                  <c:v>101.8</c:v>
                </c:pt>
                <c:pt idx="490">
                  <c:v>109.3</c:v>
                </c:pt>
                <c:pt idx="491">
                  <c:v>109.2</c:v>
                </c:pt>
                <c:pt idx="492">
                  <c:v>109.3</c:v>
                </c:pt>
                <c:pt idx="493">
                  <c:v>103.5</c:v>
                </c:pt>
                <c:pt idx="494">
                  <c:v>103</c:v>
                </c:pt>
                <c:pt idx="495">
                  <c:v>99.6</c:v>
                </c:pt>
                <c:pt idx="496">
                  <c:v>93.7</c:v>
                </c:pt>
                <c:pt idx="497">
                  <c:v>93.9</c:v>
                </c:pt>
                <c:pt idx="498">
                  <c:v>92.4</c:v>
                </c:pt>
                <c:pt idx="499">
                  <c:v>94.5</c:v>
                </c:pt>
                <c:pt idx="500">
                  <c:v>91.4</c:v>
                </c:pt>
              </c:numCache>
            </c:numRef>
          </c:val>
          <c:smooth val="0"/>
          <c:extLst>
            <c:ext xmlns:c16="http://schemas.microsoft.com/office/drawing/2014/chart" uri="{C3380CC4-5D6E-409C-BE32-E72D297353CC}">
              <c16:uniqueId val="{00000000-4B6A-4875-81EC-A886DAC52C42}"/>
            </c:ext>
          </c:extLst>
        </c:ser>
        <c:dLbls>
          <c:showLegendKey val="0"/>
          <c:showVal val="0"/>
          <c:showCatName val="0"/>
          <c:showSerName val="0"/>
          <c:showPercent val="0"/>
          <c:showBubbleSize val="0"/>
        </c:dLbls>
        <c:smooth val="0"/>
        <c:axId val="180939008"/>
        <c:axId val="180940800"/>
      </c:lineChart>
      <c:dateAx>
        <c:axId val="180939008"/>
        <c:scaling>
          <c:orientation val="minMax"/>
          <c:min val="39083"/>
        </c:scaling>
        <c:delete val="0"/>
        <c:axPos val="b"/>
        <c:numFmt formatCode="\'yy" sourceLinked="0"/>
        <c:majorTickMark val="out"/>
        <c:minorTickMark val="none"/>
        <c:tickLblPos val="nextTo"/>
        <c:spPr>
          <a:ln>
            <a:solidFill>
              <a:srgbClr val="3C3C3C"/>
            </a:solidFill>
          </a:ln>
        </c:spPr>
        <c:txPr>
          <a:bodyPr/>
          <a:lstStyle/>
          <a:p>
            <a:pPr>
              <a:defRPr>
                <a:solidFill>
                  <a:srgbClr val="3C3C3C"/>
                </a:solidFill>
              </a:defRPr>
            </a:pPr>
            <a:endParaRPr lang="en-US"/>
          </a:p>
        </c:txPr>
        <c:crossAx val="180940800"/>
        <c:crosses val="autoZero"/>
        <c:auto val="1"/>
        <c:lblOffset val="100"/>
        <c:baseTimeUnit val="months"/>
        <c:majorUnit val="12"/>
        <c:majorTimeUnit val="months"/>
      </c:dateAx>
      <c:valAx>
        <c:axId val="180940800"/>
        <c:scaling>
          <c:orientation val="minMax"/>
          <c:min val="80"/>
        </c:scaling>
        <c:delete val="0"/>
        <c:axPos val="l"/>
        <c:title>
          <c:tx>
            <c:rich>
              <a:bodyPr rot="-5400000" vert="horz"/>
              <a:lstStyle/>
              <a:p>
                <a:pPr algn="ctr">
                  <a:defRPr sz="1200">
                    <a:solidFill>
                      <a:srgbClr val="3C3C3C"/>
                    </a:solidFill>
                  </a:defRPr>
                </a:pPr>
                <a:r>
                  <a:rPr lang="en-US" sz="1200" dirty="0">
                    <a:solidFill>
                      <a:srgbClr val="3C3C3C"/>
                    </a:solidFill>
                  </a:rPr>
                  <a:t>Index level </a:t>
                </a:r>
              </a:p>
            </c:rich>
          </c:tx>
          <c:layout>
            <c:manualLayout>
              <c:xMode val="edge"/>
              <c:yMode val="edge"/>
              <c:x val="1.1130956873202348E-2"/>
              <c:y val="0.36367356557210534"/>
            </c:manualLayout>
          </c:layout>
          <c:overlay val="0"/>
        </c:title>
        <c:numFmt formatCode="General" sourceLinked="1"/>
        <c:majorTickMark val="out"/>
        <c:minorTickMark val="none"/>
        <c:tickLblPos val="nextTo"/>
        <c:spPr>
          <a:ln>
            <a:solidFill>
              <a:srgbClr val="3C3C3C"/>
            </a:solidFill>
          </a:ln>
        </c:spPr>
        <c:txPr>
          <a:bodyPr/>
          <a:lstStyle/>
          <a:p>
            <a:pPr>
              <a:defRPr sz="1000">
                <a:solidFill>
                  <a:srgbClr val="3C3C3C"/>
                </a:solidFill>
              </a:defRPr>
            </a:pPr>
            <a:endParaRPr lang="en-US"/>
          </a:p>
        </c:txPr>
        <c:crossAx val="180939008"/>
        <c:crosses val="autoZero"/>
        <c:crossBetween val="between"/>
      </c:valAx>
      <c:spPr>
        <a:solidFill>
          <a:schemeClr val="bg1"/>
        </a:solidFill>
      </c:spPr>
    </c:plotArea>
    <c:legend>
      <c:legendPos val="b"/>
      <c:layout>
        <c:manualLayout>
          <c:xMode val="edge"/>
          <c:yMode val="edge"/>
          <c:x val="0.18074329366976094"/>
          <c:y val="0.92841910241096004"/>
          <c:w val="0.62999371085004152"/>
          <c:h val="7.1580897589039766E-2"/>
        </c:manualLayout>
      </c:layout>
      <c:overlay val="0"/>
      <c:txPr>
        <a:bodyPr/>
        <a:lstStyle/>
        <a:p>
          <a:pPr>
            <a:defRPr sz="900">
              <a:solidFill>
                <a:srgbClr val="3C3C3C"/>
              </a:solidFill>
            </a:defRPr>
          </a:pPr>
          <a:endParaRPr lang="en-US"/>
        </a:p>
      </c:txPr>
    </c:legend>
    <c:plotVisOnly val="1"/>
    <c:dispBlanksAs val="gap"/>
    <c:showDLblsOverMax val="0"/>
  </c:chart>
  <c:spPr>
    <a:solidFill>
      <a:srgbClr val="F2F2F2">
        <a:alpha val="60000"/>
      </a:srgbClr>
    </a:solidFill>
    <a:ln>
      <a:noFill/>
    </a:ln>
  </c:spPr>
  <c:txPr>
    <a:bodyPr/>
    <a:lstStyle/>
    <a:p>
      <a:pPr>
        <a:defRPr sz="800">
          <a:solidFill>
            <a:schemeClr val="bg2"/>
          </a:solidFill>
          <a:latin typeface="Wells Fargo Sans" panose="020B0503020203020204" pitchFamily="34"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0.02089</cdr:y>
    </cdr:from>
    <cdr:to>
      <cdr:x>1</cdr:x>
      <cdr:y>0.1572</cdr:y>
    </cdr:to>
    <cdr:sp macro="" textlink="">
      <cdr:nvSpPr>
        <cdr:cNvPr id="2" name="TextBox 1"/>
        <cdr:cNvSpPr txBox="1">
          <a:spLocks xmlns:a="http://schemas.openxmlformats.org/drawingml/2006/main" noChangeArrowheads="1"/>
        </cdr:cNvSpPr>
      </cdr:nvSpPr>
      <cdr:spPr bwMode="auto">
        <a:xfrm xmlns:a="http://schemas.openxmlformats.org/drawingml/2006/main">
          <a:off x="0" y="42448"/>
          <a:ext cx="3670710" cy="27698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lIns="91428" tIns="45714" rIns="91428" bIns="45714">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0000"/>
            </a:lnSpc>
          </a:pPr>
          <a:r>
            <a:rPr lang="en-US" altLang="en-US" sz="1200" b="1" kern="1200" dirty="0">
              <a:solidFill>
                <a:srgbClr val="3C3C3C"/>
              </a:solidFill>
              <a:latin typeface="Wells Fargo Sans" panose="020B0503020203020204" pitchFamily="34" charset="0"/>
              <a:cs typeface="Wells Fargo Sans"/>
            </a:rPr>
            <a:t>Housing affordability continues to decline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WFII Market Charts">
    <a:dk1>
      <a:srgbClr val="000000"/>
    </a:dk1>
    <a:lt1>
      <a:srgbClr val="FFFFFF"/>
    </a:lt1>
    <a:dk2>
      <a:srgbClr val="936E3A"/>
    </a:dk2>
    <a:lt2>
      <a:srgbClr val="F4F0ED"/>
    </a:lt2>
    <a:accent1>
      <a:srgbClr val="EB691E"/>
    </a:accent1>
    <a:accent2>
      <a:srgbClr val="5A469B"/>
    </a:accent2>
    <a:accent3>
      <a:srgbClr val="C83255"/>
    </a:accent3>
    <a:accent4>
      <a:srgbClr val="BFB3F2"/>
    </a:accent4>
    <a:accent5>
      <a:srgbClr val="AA1E87"/>
    </a:accent5>
    <a:accent6>
      <a:srgbClr val="FDB1A8"/>
    </a:accent6>
    <a:hlink>
      <a:srgbClr val="5A469B"/>
    </a:hlink>
    <a:folHlink>
      <a:srgbClr val="5A469B"/>
    </a:folHlink>
  </a:clrScheme>
  <a:fontScheme name="Wells Fargo 2019 Fonts">
    <a:majorFont>
      <a:latin typeface="Wells Fargo Sans" panose="020B0503020203020204" pitchFamily="34" charset="0"/>
      <a:ea typeface=""/>
      <a:cs typeface=""/>
    </a:majorFont>
    <a:minorFont>
      <a:latin typeface="Wells Fargo Sans" panose="020B0503020203020204" pitchFamily="34" charset="0"/>
      <a:ea typeface=""/>
      <a:cs typeface=""/>
    </a:minorFont>
  </a:fontScheme>
  <a:fmtScheme name="Wells Fargo 2019 Effects">
    <a:fillStyleLst>
      <a:solidFill>
        <a:schemeClr val="phClr"/>
      </a:solidFill>
      <a:solidFill>
        <a:schemeClr val="phClr"/>
      </a:solidFill>
      <a:solidFill>
        <a:schemeClr val="phClr"/>
      </a:solidFill>
    </a:fillStyleLst>
    <a:lnStyleLst>
      <a:ln w="12700" cap="sq" cmpd="sng" algn="ctr">
        <a:solidFill>
          <a:schemeClr val="phClr"/>
        </a:solidFill>
        <a:prstDash val="solid"/>
      </a:ln>
      <a:ln w="12700" cap="sq" cmpd="sng" algn="ctr">
        <a:solidFill>
          <a:schemeClr val="phClr"/>
        </a:solidFill>
        <a:prstDash val="solid"/>
      </a:ln>
      <a:ln w="12700" cap="sq" cmpd="sng" algn="ctr">
        <a:solidFill>
          <a:schemeClr val="phClr"/>
        </a:solidFill>
        <a:prstDash val="solid"/>
      </a:ln>
    </a:lnStyleLst>
    <a:effectStyleLst>
      <a:effectStyle>
        <a:effectLst/>
      </a:effectStyle>
      <a:effectStyle>
        <a:effectLst/>
      </a:effectStyle>
      <a:effectStyle>
        <a:effectLst>
          <a:outerShdw blurRad="127000" dist="63500" dir="2700000" algn="br" rotWithShape="0">
            <a:srgbClr val="000000">
              <a:alpha val="25000"/>
            </a:srgbClr>
          </a:outerShdw>
        </a:effectLst>
      </a:effectStyle>
    </a:effectStyleLst>
    <a:bgFillStyleLst>
      <a:solidFill>
        <a:schemeClr val="phClr"/>
      </a:solidFill>
      <a:solidFill>
        <a:schemeClr val="phClr"/>
      </a:solidFill>
      <a:solidFill>
        <a:schemeClr val="phClr"/>
      </a:solidFill>
    </a:bgFillStyleLst>
  </a:fmtScheme>
</a:themeOverride>
</file>

<file path=word/theme/themeOverride2.xml><?xml version="1.0" encoding="utf-8"?>
<a:themeOverride xmlns:a="http://schemas.openxmlformats.org/drawingml/2006/main">
  <a:clrScheme name="WFII Market Charts">
    <a:dk1>
      <a:srgbClr val="000000"/>
    </a:dk1>
    <a:lt1>
      <a:srgbClr val="FFFFFF"/>
    </a:lt1>
    <a:dk2>
      <a:srgbClr val="936E3A"/>
    </a:dk2>
    <a:lt2>
      <a:srgbClr val="F4F0ED"/>
    </a:lt2>
    <a:accent1>
      <a:srgbClr val="EB691E"/>
    </a:accent1>
    <a:accent2>
      <a:srgbClr val="5A469B"/>
    </a:accent2>
    <a:accent3>
      <a:srgbClr val="C83255"/>
    </a:accent3>
    <a:accent4>
      <a:srgbClr val="BFB3F2"/>
    </a:accent4>
    <a:accent5>
      <a:srgbClr val="AA1E87"/>
    </a:accent5>
    <a:accent6>
      <a:srgbClr val="FDB1A8"/>
    </a:accent6>
    <a:hlink>
      <a:srgbClr val="5A469B"/>
    </a:hlink>
    <a:folHlink>
      <a:srgbClr val="5A469B"/>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8A3D6-32C8-41C2-95AF-C267D3471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906</Words>
  <Characters>5167</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Wells Fargo N.A.</Company>
  <LinksUpToDate>false</LinksUpToDate>
  <CharactersWithSpaces>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Josh</dc:creator>
  <cp:keywords/>
  <dc:description/>
  <cp:lastModifiedBy>Gilmore, Melanie D.</cp:lastModifiedBy>
  <cp:revision>2</cp:revision>
  <cp:lastPrinted>2024-01-30T22:15:00Z</cp:lastPrinted>
  <dcterms:created xsi:type="dcterms:W3CDTF">2024-02-26T15:43:00Z</dcterms:created>
  <dcterms:modified xsi:type="dcterms:W3CDTF">2024-02-26T15:43:00Z</dcterms:modified>
</cp:coreProperties>
</file>